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i w:val="false"/>
          <w:iCs w:val="false"/>
          <w:color w:val="808080"/>
          <w:sz w:val="16"/>
          <w:szCs w:val="16"/>
        </w:rPr>
        <w:t xml:space="preserve">BEDIENUNGSANLEITUNG</w:t>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Arbeitsmedizinische Vorsorge – Anwendung des Formularsatzes</w:t>
      </w:r>
    </w:p>
    <w:p>
      <w:pPr>
        <w:spacing w:after="300" w:before="0" w:line="276"/>
      </w:pPr>
      <w:r>
        <w:rPr>
          <w:rFonts w:ascii="Arial" w:cs="Arial" w:eastAsia="Arial" w:hAnsi="Arial"/>
          <w:b w:val="false"/>
          <w:bCs w:val="false"/>
          <w:i w:val="false"/>
          <w:iCs w:val="false"/>
          <w:color w:val="1F3864"/>
          <w:sz w:val="22"/>
          <w:szCs w:val="22"/>
        </w:rPr>
        <w:t xml:space="preserve">Ermittlung · Veranlassung · Angebot · Nachweis · Fristenmanagement</w:t>
      </w:r>
    </w:p>
    <w:p>
      <w:pPr>
        <w:spacing w:after="120" w:before="0" w:line="276"/>
      </w:pPr>
      <w:r>
        <w:rPr>
          <w:rFonts w:ascii="Arial" w:cs="Arial" w:eastAsia="Arial" w:hAnsi="Arial"/>
          <w:b w:val="false"/>
          <w:bCs w:val="false"/>
          <w:i w:val="false"/>
          <w:iCs w:val="false"/>
          <w:sz w:val="20"/>
          <w:szCs w:val="20"/>
        </w:rPr>
        <w:t xml:space="preserve">Diese Anleitung beschreibt, mit welchem Formular welcher Schritt der arbeitsmedizinischen Vorsorge nach der ArbMedVV abgedeckt wird, in welcher Reihenfolge die Dokumente auszufüllen sind und worauf beim Nachweis gegenüber Aufsichtsbehörde und Unfallversicherungsträger zu achten ist.</w:t>
      </w:r>
    </w:p>
    <w:p>
      <w:pPr>
        <w:pStyle w:val="Heading2"/>
        <w:spacing w:after="100" w:before="280"/>
      </w:pPr>
      <w:r>
        <w:rPr>
          <w:rFonts w:ascii="Arial" w:cs="Arial" w:eastAsia="Arial" w:hAnsi="Arial"/>
          <w:b/>
          <w:bCs/>
          <w:i w:val="false"/>
          <w:iCs w:val="false"/>
          <w:color w:val="1F3864"/>
          <w:sz w:val="22"/>
          <w:szCs w:val="22"/>
        </w:rPr>
        <w:t xml:space="preserve">Die Dokumente im Überblick</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1500"/>
        <w:gridCol w:w="3000"/>
        <w:gridCol w:w="2400"/>
        <w:gridCol w:w="2738"/>
      </w:tblGrid>
      <w:tr>
        <w:trPr>
          <w:tblHeader/>
        </w:trPr>
        <w:tc>
          <w:tcPr>
            <w:tcW w:type="dxa" w:w="15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Nr.</w:t>
            </w:r>
          </w:p>
        </w:tc>
        <w:tc>
          <w:tcPr>
            <w:tcW w:type="dxa" w:w="30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Dokument</w:t>
            </w:r>
          </w:p>
        </w:tc>
        <w:tc>
          <w:tcPr>
            <w:tcW w:type="dxa" w:w="24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Zweck</w:t>
            </w:r>
          </w:p>
        </w:tc>
        <w:tc>
          <w:tcPr>
            <w:tcW w:type="dxa" w:w="27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Wer füllt aus</w:t>
            </w:r>
          </w:p>
        </w:tc>
      </w:tr>
      <w:tr>
        <w:tc>
          <w:tcPr>
            <w:tcW w:type="dxa" w:w="15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AS 0001</w:t>
            </w:r>
          </w:p>
        </w:tc>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Vorsorge-Ermittlung</w:t>
            </w:r>
          </w:p>
        </w:tc>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Ermittelt aus der Gefährdungsbeurteilung, welche Vorsorgeanlässe im Betrieb bestehen</w:t>
            </w:r>
          </w:p>
        </w:tc>
        <w:tc>
          <w:tcPr>
            <w:tcW w:type="dxa" w:w="2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Fachkraft für Arbeitssicherheit, beraten durch Betriebsarzt</w:t>
            </w:r>
          </w:p>
        </w:tc>
      </w:tr>
      <w:tr>
        <w:tc>
          <w:tcPr>
            <w:tcW w:type="dxa" w:w="15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AM 0055</w:t>
            </w:r>
          </w:p>
        </w:tc>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Anschreiben Pflichtvorsorge</w:t>
            </w:r>
          </w:p>
        </w:tc>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Veranlassung der Pflichtvorsorge gegenüber der beschäftigten Person</w:t>
            </w:r>
          </w:p>
        </w:tc>
        <w:tc>
          <w:tcPr>
            <w:tcW w:type="dxa" w:w="2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Arbeitgeber / Führungskraft</w:t>
            </w:r>
          </w:p>
        </w:tc>
      </w:tr>
      <w:tr>
        <w:tc>
          <w:tcPr>
            <w:tcW w:type="dxa" w:w="15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AM 0054</w:t>
            </w:r>
          </w:p>
        </w:tc>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Anschreiben Angebotsvorsorge</w:t>
            </w:r>
          </w:p>
        </w:tc>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Angebot der Angebotsvorsorge inkl. Rückantwort der beschäftigten Person</w:t>
            </w:r>
          </w:p>
        </w:tc>
        <w:tc>
          <w:tcPr>
            <w:tcW w:type="dxa" w:w="2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Arbeitgeber / Führungskraft</w:t>
            </w:r>
          </w:p>
        </w:tc>
      </w:tr>
      <w:tr>
        <w:tc>
          <w:tcPr>
            <w:tcW w:type="dxa" w:w="15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AM 0049</w:t>
            </w:r>
          </w:p>
        </w:tc>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Vorsorgekartei (Einzelblatt)</w:t>
            </w:r>
          </w:p>
        </w:tc>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Personenbezogener Nachweis der durchgeführten Vorsorge</w:t>
            </w:r>
          </w:p>
        </w:tc>
        <w:tc>
          <w:tcPr>
            <w:tcW w:type="dxa" w:w="2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Arbeitgeber / Sachbearbeitung</w:t>
            </w:r>
          </w:p>
        </w:tc>
      </w:tr>
      <w:tr>
        <w:tc>
          <w:tcPr>
            <w:tcW w:type="dxa" w:w="15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w:t>
            </w:r>
          </w:p>
        </w:tc>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Vorsorgekartei (Excel)</w:t>
            </w:r>
          </w:p>
        </w:tc>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Zentrale Übersicht, Fristenmanagement, Angebotsnachweis</w:t>
            </w:r>
          </w:p>
        </w:tc>
        <w:tc>
          <w:tcPr>
            <w:tcW w:type="dxa" w:w="2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Arbeitgeber / Sachbearbeitung</w:t>
            </w:r>
          </w:p>
        </w:tc>
      </w:tr>
      <w:tr>
        <w:tc>
          <w:tcPr>
            <w:tcW w:type="dxa" w:w="15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AMR 2.1</w:t>
            </w:r>
          </w:p>
        </w:tc>
        <w:tc>
          <w:tcPr>
            <w:tcW w:type="dxa" w:w="30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Fristen (Referenz)</w:t>
            </w:r>
          </w:p>
        </w:tc>
        <w:tc>
          <w:tcPr>
            <w:tcW w:type="dxa" w:w="24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Maximalfristen für Veranlassung und Angebot</w:t>
            </w:r>
          </w:p>
        </w:tc>
        <w:tc>
          <w:tcPr>
            <w:tcW w:type="dxa" w:w="2738"/>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Nachschlagewerk</w:t>
            </w:r>
          </w:p>
        </w:tc>
      </w:tr>
      <w:tr>
        <w:tc>
          <w:tcPr>
            <w:tcW w:type="dxa" w:w="15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AMR 5.1</w:t>
            </w:r>
          </w:p>
        </w:tc>
        <w:tc>
          <w:tcPr>
            <w:tcW w:type="dxa" w:w="30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Form des Angebots (Referenz)</w:t>
            </w:r>
          </w:p>
        </w:tc>
        <w:tc>
          <w:tcPr>
            <w:tcW w:type="dxa" w:w="24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Pflichtinhalte und Form des Angebots</w:t>
            </w:r>
          </w:p>
        </w:tc>
        <w:tc>
          <w:tcPr>
            <w:tcW w:type="dxa" w:w="2738"/>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Nachschlagewerk</w:t>
            </w:r>
          </w:p>
        </w:tc>
      </w:tr>
    </w:tbl>
    <w:p>
      <w:pPr>
        <w:pStyle w:val="Heading2"/>
        <w:spacing w:after="100" w:before="280"/>
      </w:pPr>
      <w:r>
        <w:rPr>
          <w:rFonts w:ascii="Arial" w:cs="Arial" w:eastAsia="Arial" w:hAnsi="Arial"/>
          <w:b/>
          <w:bCs/>
          <w:i w:val="false"/>
          <w:iCs w:val="false"/>
          <w:color w:val="1F3864"/>
          <w:sz w:val="22"/>
          <w:szCs w:val="22"/>
        </w:rPr>
        <w:t xml:space="preserve">Der Ablauf in sieben Schritten</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800"/>
        <w:gridCol w:w="2600"/>
        <w:gridCol w:w="3200"/>
        <w:gridCol w:w="3038"/>
      </w:tblGrid>
      <w:tr>
        <w:trPr>
          <w:tblHeader/>
        </w:trPr>
        <w:tc>
          <w:tcPr>
            <w:tcW w:type="dxa" w:w="8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Schritt</w:t>
            </w:r>
          </w:p>
        </w:tc>
        <w:tc>
          <w:tcPr>
            <w:tcW w:type="dxa" w:w="26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Was passiert</w:t>
            </w:r>
          </w:p>
        </w:tc>
        <w:tc>
          <w:tcPr>
            <w:tcW w:type="dxa" w:w="32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Dokument</w:t>
            </w:r>
          </w:p>
        </w:tc>
        <w:tc>
          <w:tcPr>
            <w:tcW w:type="dxa" w:w="30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Ergebnis / Auslöser für den nächsten Schritt</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1</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Gefährdungsbeurteilung erstellen bzw. aktualisieren</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GBU (nicht Teil dieses Satzes)</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Bekannte Gefährdungen je Tätigkeit</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2</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Vorsorgeanlässe ermitteln</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AS 0001</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Liste: welche Tätigkeit löst welche Pflicht- bzw. Angebotsvorsorge aus</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3</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Betroffene Personen zuordnen</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Excel, Blatt „Anlassmatrix“</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Namentliche Zuordnung, Richtfristen</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4a</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Pflichtvorsorge veranlassen</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AM 0055</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Termin beim Betriebsarzt; Tätigkeit erst nach Vorsorge zulässig</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4b</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Angebotsvorsorge anbieten</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AM 0054</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Unterschriebene Rückantwort (Annahme oder Ablehnung)</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5</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 findet statt</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Betriebsarzt</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Vorsorgebescheinigung an Beschäftigte und Arbeitgeber</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6</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Nachweis erfassen</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 AM 0049 + Excel</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Eintrag in der Vorsorgekartei, Folgetermin berechnet</w:t>
            </w:r>
          </w:p>
        </w:tc>
      </w:tr>
      <w:tr>
        <w:tc>
          <w:tcPr>
            <w:tcW w:type="dxa" w:w="8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7</w:t>
            </w:r>
          </w:p>
        </w:tc>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Fristen überwachen</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Excel, Statusspalte</w:t>
            </w:r>
          </w:p>
        </w:tc>
        <w:tc>
          <w:tcPr>
            <w:tcW w:type="dxa" w:w="3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Rechtzeitige Wiederholung nach Schritt 4</w:t>
            </w:r>
          </w:p>
        </w:tc>
      </w:tr>
    </w:tbl>
    <w:p>
      <w:pPr>
        <w:spacing w:after="120" w:before="0" w:line="276"/>
      </w:pPr>
      <w:r>
        <w:rPr>
          <w:rFonts w:ascii="Arial" w:cs="Arial" w:eastAsia="Arial" w:hAnsi="Arial"/>
          <w:b w:val="false"/>
          <w:bCs w:val="false"/>
          <w:i w:val="false"/>
          <w:iCs w:val="false"/>
          <w:color w:val="595959"/>
          <w:sz w:val="16"/>
          <w:szCs w:val="16"/>
        </w:rPr>
        <w:t xml:space="preserve">Schritt 4b wird auch dann erneut durchlaufen, wenn die Person zuvor abgelehnt hat (§ 5 Absatz 1 Satz 3 ArbMedVV).</w:t>
      </w:r>
    </w:p>
    <w:p>
      <w:r>
        <w:br w:type="page"/>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1 · F AS 0001 – Vorsorge-Ermittlung</w:t>
      </w:r>
    </w:p>
    <w:p>
      <w:pPr>
        <w:spacing w:after="120" w:before="0" w:line="276"/>
      </w:pPr>
      <w:r>
        <w:rPr>
          <w:rFonts w:ascii="Arial" w:cs="Arial" w:eastAsia="Arial" w:hAnsi="Arial"/>
          <w:b/>
          <w:bCs/>
          <w:i w:val="false"/>
          <w:iCs w:val="false"/>
          <w:sz w:val="20"/>
          <w:szCs w:val="20"/>
        </w:rPr>
        <w:t xml:space="preserve">Zweck: </w:t>
      </w:r>
      <w:r>
        <w:rPr>
          <w:rFonts w:ascii="Arial" w:cs="Arial" w:eastAsia="Arial" w:hAnsi="Arial"/>
          <w:b w:val="false"/>
          <w:bCs w:val="false"/>
          <w:i w:val="false"/>
          <w:iCs w:val="false"/>
          <w:sz w:val="20"/>
          <w:szCs w:val="20"/>
        </w:rPr>
        <w:t xml:space="preserve">Ermittlung der Vorsorgeanlässe aus der Gefährdungsbeurteilung. Dieses Dokument ist kein Nachweis gegenüber Beschäftigten, sondern die fachliche Grundlage für alles Weitere. Ohne ausgefüllte Ermittlung lässt sich weder eine Veranlassung noch ein Angebot begründen.</w:t>
      </w:r>
    </w:p>
    <w:p>
      <w:pPr>
        <w:pStyle w:val="Heading2"/>
        <w:spacing w:after="100" w:before="280"/>
      </w:pPr>
      <w:r>
        <w:rPr>
          <w:rFonts w:ascii="Arial" w:cs="Arial" w:eastAsia="Arial" w:hAnsi="Arial"/>
          <w:b/>
          <w:bCs/>
          <w:i w:val="false"/>
          <w:iCs w:val="false"/>
          <w:color w:val="1F3864"/>
          <w:sz w:val="22"/>
          <w:szCs w:val="22"/>
        </w:rPr>
        <w:t xml:space="preserve">Aufbau</w:t>
      </w:r>
    </w:p>
    <w:p>
      <w:pPr>
        <w:spacing w:after="120" w:before="0" w:line="276"/>
      </w:pPr>
      <w:r>
        <w:rPr>
          <w:rFonts w:ascii="Arial" w:cs="Arial" w:eastAsia="Arial" w:hAnsi="Arial"/>
          <w:b w:val="false"/>
          <w:bCs w:val="false"/>
          <w:i w:val="false"/>
          <w:iCs w:val="false"/>
          <w:sz w:val="20"/>
          <w:szCs w:val="20"/>
        </w:rPr>
        <w:t xml:space="preserve">Das Formular folgt der Gliederung des Anhangs der ArbMedVV:</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1900"/>
        <w:gridCol w:w="4400"/>
        <w:gridCol w:w="3338"/>
      </w:tblGrid>
      <w:tr>
        <w:trPr>
          <w:tblHeader/>
        </w:trPr>
        <w:tc>
          <w:tcPr>
            <w:tcW w:type="dxa" w:w="19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Abschnitt</w:t>
            </w:r>
          </w:p>
        </w:tc>
        <w:tc>
          <w:tcPr>
            <w:tcW w:type="dxa" w:w="44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Inhalt</w:t>
            </w:r>
          </w:p>
        </w:tc>
        <w:tc>
          <w:tcPr>
            <w:tcW w:type="dxa" w:w="33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Struktur</w:t>
            </w:r>
          </w:p>
        </w:tc>
      </w:tr>
      <w:tr>
        <w:tc>
          <w:tcPr>
            <w:tcW w:type="dxa" w:w="19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Teil 1</w:t>
            </w:r>
          </w:p>
        </w:tc>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Tätigkeiten mit Gefahrstoffen</w:t>
            </w:r>
          </w:p>
        </w:tc>
        <w:tc>
          <w:tcPr>
            <w:tcW w:type="dxa" w:w="33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1.1 Pflichtvorsorge (mit Stoffliste), 1.2 Angebotsvorsorge</w:t>
            </w:r>
          </w:p>
        </w:tc>
      </w:tr>
      <w:tr>
        <w:tc>
          <w:tcPr>
            <w:tcW w:type="dxa" w:w="19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Teil 2</w:t>
            </w:r>
          </w:p>
        </w:tc>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Tätigkeiten mit biologischen Arbeitsstoffen</w:t>
            </w:r>
          </w:p>
        </w:tc>
        <w:tc>
          <w:tcPr>
            <w:tcW w:type="dxa" w:w="33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2.1 Pflichtvorsorge, 2.2 Angebotsvorsorge</w:t>
            </w:r>
          </w:p>
        </w:tc>
      </w:tr>
      <w:tr>
        <w:tc>
          <w:tcPr>
            <w:tcW w:type="dxa" w:w="19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Teil 3</w:t>
            </w:r>
          </w:p>
        </w:tc>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Physikalische Einwirkungen (Lärm, Vibration, Hitze, Kälte, Strahlung)</w:t>
            </w:r>
          </w:p>
        </w:tc>
        <w:tc>
          <w:tcPr>
            <w:tcW w:type="dxa" w:w="33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3.1 Pflichtvorsorge, 3.2 Angebotsvorsorge</w:t>
            </w:r>
          </w:p>
        </w:tc>
      </w:tr>
      <w:tr>
        <w:tc>
          <w:tcPr>
            <w:tcW w:type="dxa" w:w="19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Teil 4</w:t>
            </w:r>
          </w:p>
        </w:tc>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Sonstige Tätigkeiten (Atemschutz, Auslandsaufenthalte, Bildschirmarbeit)</w:t>
            </w:r>
          </w:p>
        </w:tc>
        <w:tc>
          <w:tcPr>
            <w:tcW w:type="dxa" w:w="33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4.1 Pflichtvorsorge, 4.2 Angebotsvorsorge</w:t>
            </w:r>
          </w:p>
        </w:tc>
      </w:tr>
      <w:tr>
        <w:tc>
          <w:tcPr>
            <w:tcW w:type="dxa" w:w="19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Anhang</w:t>
            </w:r>
          </w:p>
        </w:tc>
        <w:tc>
          <w:tcPr>
            <w:tcW w:type="dxa" w:w="44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Erläuterungen: Feuchtarbeit-Stufen, TRGS-Verweise, nachgehende Vorsorge, Lärmkenngrößen</w:t>
            </w:r>
          </w:p>
        </w:tc>
        <w:tc>
          <w:tcPr>
            <w:tcW w:type="dxa" w:w="3338"/>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Nachschlageteil</w:t>
            </w:r>
          </w:p>
        </w:tc>
      </w:tr>
    </w:tbl>
    <w:p>
      <w:pPr>
        <w:pStyle w:val="Heading2"/>
        <w:spacing w:after="100" w:before="280"/>
      </w:pPr>
      <w:r>
        <w:rPr>
          <w:rFonts w:ascii="Arial" w:cs="Arial" w:eastAsia="Arial" w:hAnsi="Arial"/>
          <w:b/>
          <w:bCs/>
          <w:i w:val="false"/>
          <w:iCs w:val="false"/>
          <w:color w:val="1F3864"/>
          <w:sz w:val="22"/>
          <w:szCs w:val="22"/>
        </w:rPr>
        <w:t xml:space="preserve">So gehen Sie vor</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Legen Sie eine Kopie des Formulars je Tätigkeit bzw. je Arbeitsbereich an – nicht je Person. Vorsorgeanlässe knüpfen an die Tätigkeit an, nicht an den Menschen.</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Arbeiten Sie die Teile 1 bis 4 vollständig durch. Auch scheinbar unpassende Teile prüfen: Atemschutz und Bildschirmarbeit betreffen fast jeden Betrieb.</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Setzen Sie in der Spalte „Ja“ ein Kreuz, wenn der Anlass zutrifft. Alles ohne Kreuz gilt als geprüft und verneint.</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Notieren Sie in jeder angekreuzten Zeile die konkrete Tätigkeit, die Exposition und – bei Gefahrstoffen – die Stoffbezeichnung. Die Anschreiben (F AM 0054/0055) verlangen später genau diese Angaben.</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Lassen Sie das Ergebnis vom Betriebsarzt gegenzeichnen. Die Zuordnung ist eine fachlich-arbeitsmedizinische Bewertung, keine reine Verwaltungsentscheidung.</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Übertragen Sie das Ergebnis in das Excel-Blatt „Anlassmatrix“ und ordnen Sie die betroffenen Personen zu.</w:t>
      </w:r>
    </w:p>
    <w:p>
      <w:pPr>
        <w:pStyle w:val="Heading2"/>
        <w:spacing w:after="100" w:before="280"/>
      </w:pPr>
      <w:r>
        <w:rPr>
          <w:rFonts w:ascii="Arial" w:cs="Arial" w:eastAsia="Arial" w:hAnsi="Arial"/>
          <w:b/>
          <w:bCs/>
          <w:i w:val="false"/>
          <w:iCs w:val="false"/>
          <w:color w:val="1F3864"/>
          <w:sz w:val="22"/>
          <w:szCs w:val="22"/>
        </w:rPr>
        <w:t xml:space="preserve">Die Spalte „Vorsorge angelehnt an BG-Grundsatz“</w:t>
      </w:r>
    </w:p>
    <w:p>
      <w:pPr>
        <w:spacing w:after="120" w:before="0" w:line="276"/>
      </w:pPr>
      <w:r>
        <w:rPr>
          <w:rFonts w:ascii="Arial" w:cs="Arial" w:eastAsia="Arial" w:hAnsi="Arial"/>
          <w:b w:val="false"/>
          <w:bCs w:val="false"/>
          <w:i w:val="false"/>
          <w:iCs w:val="false"/>
          <w:sz w:val="20"/>
          <w:szCs w:val="20"/>
        </w:rPr>
        <w:t xml:space="preserve">Diese Spalte nennt die DGUV-Grundsätze (G 20, G 37, G 42 …). Sie dient der Verständigung mit dem Betriebsarzt und der Terminplanung.</w:t>
      </w:r>
    </w:p>
    <w:tbl>
      <w:tblPr>
        <w:tblW w:type="dxa" w:w="9638"/>
        <w:tblBorders>
          <w:top w:val="single" w:color="BFBFBF" w:sz="4"/>
          <w:left w:val="single" w:color="BF9000" w:sz="18"/>
          <w:bottom w:val="single" w:color="BFBFBF" w:sz="4"/>
          <w:right w:val="single" w:color="BFBFBF" w:sz="4"/>
          <w:insideH w:val="none"/>
          <w:insideV w:val="none"/>
        </w:tblBorders>
      </w:tblPr>
      <w:tblGrid>
        <w:gridCol w:w="9638"/>
      </w:tblGrid>
      <w:tr>
        <w:tc>
          <w:tcPr>
            <w:tcW w:type="dxa" w:w="9638"/>
            <w:shd w:fill="FFF2CC" w:color="auto" w:val="clear"/>
            <w:tcMar>
              <w:top w:type="dxa" w:w="80"/>
              <w:left w:type="dxa" w:w="110"/>
              <w:bottom w:type="dxa" w:w="80"/>
              <w:right w:type="dxa" w:w="110"/>
            </w:tcMar>
            <w:vAlign w:val="center"/>
          </w:tcPr>
          <w:p>
            <w:pPr>
              <w:spacing w:after="60" w:before="0" w:line="276"/>
            </w:pPr>
            <w:r>
              <w:rPr>
                <w:rFonts w:ascii="Arial" w:cs="Arial" w:eastAsia="Arial" w:hAnsi="Arial"/>
                <w:b/>
                <w:bCs/>
                <w:i w:val="false"/>
                <w:iCs w:val="false"/>
                <w:sz w:val="19"/>
                <w:szCs w:val="19"/>
              </w:rPr>
              <w:t xml:space="preserve">Wichtig zur Einordnung der G-Grundsätze</w:t>
            </w:r>
          </w:p>
          <w:p>
            <w:pPr>
              <w:spacing w:after="60" w:before="0" w:line="276"/>
            </w:pPr>
            <w:r>
              <w:rPr>
                <w:rFonts w:ascii="Arial" w:cs="Arial" w:eastAsia="Arial" w:hAnsi="Arial"/>
                <w:b w:val="false"/>
                <w:bCs w:val="false"/>
                <w:i w:val="false"/>
                <w:iCs w:val="false"/>
                <w:sz w:val="18"/>
                <w:szCs w:val="18"/>
              </w:rPr>
              <w:t xml:space="preserve">Die DGUV-Grundsätze sind Empfehlungen für den Arzt, keine Rechtsgrundlage der Vorsorge. Rechtlich maßgeblich ist allein der Anhang der ArbMedVV.</w:t>
            </w:r>
          </w:p>
          <w:p>
            <w:pPr>
              <w:spacing w:after="60" w:before="0" w:line="276"/>
            </w:pPr>
            <w:r>
              <w:rPr>
                <w:rFonts w:ascii="Arial" w:cs="Arial" w:eastAsia="Arial" w:hAnsi="Arial"/>
                <w:b w:val="false"/>
                <w:bCs w:val="false"/>
                <w:i w:val="false"/>
                <w:iCs w:val="false"/>
                <w:sz w:val="18"/>
                <w:szCs w:val="18"/>
              </w:rPr>
              <w:t xml:space="preserve">Verwenden Sie in Anschreiben, Kartei und gegenüber der Behörde deshalb immer den Vorsorgeanlass nach ArbMedVV (z. B. „Anhang Teil 3 Absatz 1 Nummer 3 – Lärm“) und nicht die G-Nummer.</w:t>
            </w:r>
          </w:p>
          <w:p>
            <w:pPr>
              <w:spacing w:after="60" w:before="0" w:line="276"/>
            </w:pPr>
            <w:r>
              <w:rPr>
                <w:rFonts w:ascii="Arial" w:cs="Arial" w:eastAsia="Arial" w:hAnsi="Arial"/>
                <w:b w:val="false"/>
                <w:bCs w:val="false"/>
                <w:i w:val="false"/>
                <w:iCs w:val="false"/>
                <w:sz w:val="18"/>
                <w:szCs w:val="18"/>
              </w:rPr>
              <w:t xml:space="preserve">Der Begriff „Untersuchung“ ist seit 2013 überholt. Arbeitsmedizinische Vorsorge ist Beratung mit ggf. angebotener Untersuchung; körperliche Untersuchungen dürfen nicht gegen den Willen der beschäftigten Person durchgeführt werden.</w:t>
            </w:r>
          </w:p>
        </w:tc>
      </w:tr>
    </w:tbl>
    <w:p>
      <w:pPr>
        <w:pStyle w:val="Heading2"/>
        <w:spacing w:after="100" w:before="280"/>
      </w:pPr>
      <w:r>
        <w:rPr>
          <w:rFonts w:ascii="Arial" w:cs="Arial" w:eastAsia="Arial" w:hAnsi="Arial"/>
          <w:b/>
          <w:bCs/>
          <w:i w:val="false"/>
          <w:iCs w:val="false"/>
          <w:color w:val="1F3864"/>
          <w:sz w:val="22"/>
          <w:szCs w:val="22"/>
        </w:rPr>
        <w:t xml:space="preserve">Aktualisierung</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Bei jeder Änderung der Gefährdungsbeurteilung – neuer Stoff, neues Verfahren, geänderte Expositionsdauer.</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Bei Änderung der ArbMedVV oder ihres Anhangs. Prüfen Sie insbesondere die Gefahrstoff-Kategorien: der Anhang stellt heute auf die CLP-Kategorien 1A/1B ab, ältere Vorlagen nennen teilweise noch „Kat. 1 oder 2“.</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Mindestens im Rahmen der regelmäßigen Überprüfung der Gefährdungsbeurteilung.</w:t>
      </w:r>
    </w:p>
    <w:p>
      <w:r>
        <w:br w:type="page"/>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2 · F AM 0055 – Anschreiben Pflichtvorsorge</w:t>
      </w:r>
    </w:p>
    <w:p>
      <w:pPr>
        <w:spacing w:after="120" w:before="0" w:line="276"/>
      </w:pPr>
      <w:r>
        <w:rPr>
          <w:rFonts w:ascii="Arial" w:cs="Arial" w:eastAsia="Arial" w:hAnsi="Arial"/>
          <w:b/>
          <w:bCs/>
          <w:i w:val="false"/>
          <w:iCs w:val="false"/>
          <w:sz w:val="20"/>
          <w:szCs w:val="20"/>
        </w:rPr>
        <w:t xml:space="preserve">Zweck: </w:t>
      </w:r>
      <w:r>
        <w:rPr>
          <w:rFonts w:ascii="Arial" w:cs="Arial" w:eastAsia="Arial" w:hAnsi="Arial"/>
          <w:b w:val="false"/>
          <w:bCs w:val="false"/>
          <w:i w:val="false"/>
          <w:iCs w:val="false"/>
          <w:sz w:val="20"/>
          <w:szCs w:val="20"/>
        </w:rPr>
        <w:t xml:space="preserve">Veranlassung der Pflichtvorsorge nach § 4 ArbMedVV. Das Schreiben informiert die beschäftigte Person über Anlass und Termin und dokumentiert zugleich, dass der Arbeitgeber die Vorsorge veranlasst hat.</w:t>
      </w:r>
    </w:p>
    <w:tbl>
      <w:tblPr>
        <w:tblW w:type="dxa" w:w="9638"/>
        <w:tblBorders>
          <w:top w:val="single" w:color="BFBFBF" w:sz="4"/>
          <w:left w:val="single" w:color="C00000" w:sz="18"/>
          <w:bottom w:val="single" w:color="BFBFBF" w:sz="4"/>
          <w:right w:val="single" w:color="BFBFBF" w:sz="4"/>
          <w:insideH w:val="none"/>
          <w:insideV w:val="none"/>
        </w:tblBorders>
      </w:tblPr>
      <w:tblGrid>
        <w:gridCol w:w="9638"/>
      </w:tblGrid>
      <w:tr>
        <w:tc>
          <w:tcPr>
            <w:tcW w:type="dxa" w:w="9638"/>
            <w:shd w:fill="FADBD8" w:color="auto" w:val="clear"/>
            <w:tcMar>
              <w:top w:type="dxa" w:w="80"/>
              <w:left w:type="dxa" w:w="110"/>
              <w:bottom w:type="dxa" w:w="80"/>
              <w:right w:type="dxa" w:w="110"/>
            </w:tcMar>
            <w:vAlign w:val="center"/>
          </w:tcPr>
          <w:p>
            <w:pPr>
              <w:spacing w:after="60" w:before="0" w:line="276"/>
            </w:pPr>
            <w:r>
              <w:rPr>
                <w:rFonts w:ascii="Arial" w:cs="Arial" w:eastAsia="Arial" w:hAnsi="Arial"/>
                <w:b/>
                <w:bCs/>
                <w:i w:val="false"/>
                <w:iCs w:val="false"/>
                <w:sz w:val="19"/>
                <w:szCs w:val="19"/>
              </w:rPr>
              <w:t xml:space="preserve">Pflichtvorsorge ist Tätigkeitsvoraussetzung</w:t>
            </w:r>
          </w:p>
          <w:p>
            <w:pPr>
              <w:spacing w:after="60" w:before="0" w:line="276"/>
            </w:pPr>
            <w:r>
              <w:rPr>
                <w:rFonts w:ascii="Arial" w:cs="Arial" w:eastAsia="Arial" w:hAnsi="Arial"/>
                <w:b w:val="false"/>
                <w:bCs w:val="false"/>
                <w:i w:val="false"/>
                <w:iCs w:val="false"/>
                <w:sz w:val="18"/>
                <w:szCs w:val="18"/>
              </w:rPr>
              <w:t xml:space="preserve">Die Tätigkeit darf erst ausgeübt werden, wenn die Person an der Pflichtvorsorge teilgenommen hat (§ 4 Absatz 2 ArbMedVV).</w:t>
            </w:r>
          </w:p>
          <w:p>
            <w:pPr>
              <w:spacing w:after="60" w:before="0" w:line="276"/>
            </w:pPr>
            <w:r>
              <w:rPr>
                <w:rFonts w:ascii="Arial" w:cs="Arial" w:eastAsia="Arial" w:hAnsi="Arial"/>
                <w:b w:val="false"/>
                <w:bCs w:val="false"/>
                <w:i w:val="false"/>
                <w:iCs w:val="false"/>
                <w:sz w:val="18"/>
                <w:szCs w:val="18"/>
              </w:rPr>
              <w:t xml:space="preserve">Die erste Vorsorge ist innerhalb von drei Monaten vor Aufnahme der Tätigkeit zu veranlassen (AMR 2.1 Nummer 3 Absatz 1).</w:t>
            </w:r>
          </w:p>
          <w:p>
            <w:pPr>
              <w:spacing w:after="60" w:before="0" w:line="276"/>
            </w:pPr>
            <w:r>
              <w:rPr>
                <w:rFonts w:ascii="Arial" w:cs="Arial" w:eastAsia="Arial" w:hAnsi="Arial"/>
                <w:b w:val="false"/>
                <w:bCs w:val="false"/>
                <w:i w:val="false"/>
                <w:iCs w:val="false"/>
                <w:sz w:val="18"/>
                <w:szCs w:val="18"/>
              </w:rPr>
              <w:t xml:space="preserve">Eine Rückantwort der beschäftigten Person ist nicht vorgesehen und auch nicht erforderlich – anders als beim Angebot. Nachweis ist die Vorsorgebescheinigung.</w:t>
            </w:r>
          </w:p>
        </w:tc>
      </w:tr>
    </w:tbl>
    <w:p>
      <w:pPr>
        <w:pStyle w:val="Heading2"/>
        <w:spacing w:after="100" w:before="280"/>
      </w:pPr>
      <w:r>
        <w:rPr>
          <w:rFonts w:ascii="Arial" w:cs="Arial" w:eastAsia="Arial" w:hAnsi="Arial"/>
          <w:b/>
          <w:bCs/>
          <w:i w:val="false"/>
          <w:iCs w:val="false"/>
          <w:color w:val="1F3864"/>
          <w:sz w:val="22"/>
          <w:szCs w:val="22"/>
        </w:rPr>
        <w:t xml:space="preserve">Ausfüllen</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Kopfbereich: Firmenname, Firmenanschrift, Name des Absenders, Datum sowie Anrede und vollständige Anschrift der beschäftigten Person.</w:t>
      </w:r>
    </w:p>
    <w:p>
      <w:pPr>
        <w:pStyle w:val="ListParagraph"/>
        <w:numPr>
          <w:ilvl w:val="0"/>
          <w:numId w:val="2"/>
        </w:numPr>
        <w:spacing w:after="60" w:line="276"/>
      </w:pPr>
      <w:r>
        <w:rPr>
          <w:rFonts w:ascii="Arial" w:cs="Arial" w:eastAsia="Arial" w:hAnsi="Arial"/>
          <w:b/>
          <w:bCs/>
          <w:i w:val="false"/>
          <w:iCs w:val="false"/>
          <w:sz w:val="20"/>
          <w:szCs w:val="20"/>
        </w:rPr>
        <w:t xml:space="preserve">Auswahlfeld „Wählen Sie ein Element aus“: </w:t>
      </w:r>
      <w:r>
        <w:rPr>
          <w:rFonts w:ascii="Arial" w:cs="Arial" w:eastAsia="Arial" w:hAnsi="Arial"/>
          <w:b w:val="false"/>
          <w:bCs w:val="false"/>
          <w:i w:val="false"/>
          <w:iCs w:val="false"/>
          <w:sz w:val="20"/>
          <w:szCs w:val="20"/>
        </w:rPr>
        <w:t xml:space="preserve">Es handelt sich um ein Word-Inhaltssteuerelement. Anklicken und die passende Anrede wählen. Nicht überschreiben, sonst geht die Formatierung des Feldes verloren.</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Zutreffende Anlässe ankreuzen – gegliedert nach Anhang Teil 1 (Gefahrstoffe), Teil 2 (biologische Arbeitsstoffe), Teil 3 (physikalische Einwirkungen) und Teil 4 (sonstige Tätigkeiten).</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Unter jedem angekreuzten Kästchen die Freitextzeile ausfüllen: Tätigkeit beschreiben, Exposition, Dauer und – bei Gefahrstoffen – die Stoffe auflisten. Übernehmen Sie die Formulierung aus F AS 0001.</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Betriebsärztin bzw. Betriebsarzt mit Namen und Kontaktdaten eintragen.</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Unterschrift des Arbeitgebers bzw. der bevollmächtigten Führungskraft.</w:t>
      </w:r>
    </w:p>
    <w:p>
      <w:pPr>
        <w:pStyle w:val="Heading2"/>
        <w:spacing w:after="100" w:before="280"/>
      </w:pPr>
      <w:r>
        <w:rPr>
          <w:rFonts w:ascii="Arial" w:cs="Arial" w:eastAsia="Arial" w:hAnsi="Arial"/>
          <w:b/>
          <w:bCs/>
          <w:i w:val="false"/>
          <w:iCs w:val="false"/>
          <w:color w:val="1F3864"/>
          <w:sz w:val="22"/>
          <w:szCs w:val="22"/>
        </w:rPr>
        <w:t xml:space="preserve">Nicht ankreuzen, was nicht belegt ist</w:t>
      </w:r>
    </w:p>
    <w:p>
      <w:pPr>
        <w:spacing w:after="120" w:before="0" w:line="276"/>
      </w:pPr>
      <w:r>
        <w:rPr>
          <w:rFonts w:ascii="Arial" w:cs="Arial" w:eastAsia="Arial" w:hAnsi="Arial"/>
          <w:b w:val="false"/>
          <w:bCs w:val="false"/>
          <w:i w:val="false"/>
          <w:iCs w:val="false"/>
          <w:sz w:val="20"/>
          <w:szCs w:val="20"/>
        </w:rPr>
        <w:t xml:space="preserve">Jedes gesetzte Kreuz behauptet eine bestimmte Gefährdung. Ein pauschal angekreuzter Anlass ohne Entsprechung in der Gefährdungsbeurteilung fällt bei einer Behördenprüfung auf und stellt die gesamte Ermittlung in Frage.</w:t>
      </w:r>
    </w:p>
    <w:p>
      <w:pPr>
        <w:pStyle w:val="Heading2"/>
        <w:spacing w:after="100" w:before="280"/>
      </w:pPr>
      <w:r>
        <w:rPr>
          <w:rFonts w:ascii="Arial" w:cs="Arial" w:eastAsia="Arial" w:hAnsi="Arial"/>
          <w:b/>
          <w:bCs/>
          <w:i w:val="false"/>
          <w:iCs w:val="false"/>
          <w:color w:val="1F3864"/>
          <w:sz w:val="22"/>
          <w:szCs w:val="22"/>
        </w:rPr>
        <w:t xml:space="preserve">Nach dem Versand</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Kopie des unterschriebenen Schreibens zum Vorsorgeordner nehmen.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Termin im Excel-Blatt „Vorsorgekartei“ vormerken; der Eintrag wird nach Eingang der Vorsorgebescheinigung vervollständigt.</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Bleibt die Teilnahme aus, darf die Tätigkeit nicht ausgeübt werden. Das ist eine Führungsaufgabe, keine Frage der Sachbearbeitung – die zuständige Führungskraft ist unverzüglich zu informieren.</w:t>
      </w:r>
    </w:p>
    <w:p>
      <w:pPr>
        <w:pStyle w:val="Heading2"/>
        <w:spacing w:after="100" w:before="280"/>
      </w:pPr>
      <w:r>
        <w:rPr>
          <w:rFonts w:ascii="Arial" w:cs="Arial" w:eastAsia="Arial" w:hAnsi="Arial"/>
          <w:b/>
          <w:bCs/>
          <w:i w:val="false"/>
          <w:iCs w:val="false"/>
          <w:color w:val="1F3864"/>
          <w:sz w:val="22"/>
          <w:szCs w:val="22"/>
        </w:rPr>
        <w:t xml:space="preserve">Abgrenzung zu Eignungsuntersuchungen</w:t>
      </w:r>
    </w:p>
    <w:p>
      <w:pPr>
        <w:spacing w:after="120" w:before="0" w:line="276"/>
      </w:pPr>
      <w:r>
        <w:rPr>
          <w:rFonts w:ascii="Arial" w:cs="Arial" w:eastAsia="Arial" w:hAnsi="Arial"/>
          <w:b w:val="false"/>
          <w:bCs w:val="false"/>
          <w:i w:val="false"/>
          <w:iCs w:val="false"/>
          <w:sz w:val="20"/>
          <w:szCs w:val="20"/>
        </w:rPr>
        <w:t xml:space="preserve">Das Formular weist selbst darauf hin, dass Pflicht- oder Eignungsuntersuchungen nach anderen Rechtsvorschriften – etwa Fahrerlaubnisverordnung oder Strahlenschutzrecht – hier nicht erfasst sind. Diese laufen in einem getrennten Verfahren und dürfen nicht mit der arbeitsmedizinischen Vorsorge vermischt werden. Insbesondere darf aus der Vorsorge keine Eignungsaussage abgeleitet oder vom Arzt angefordert werden.</w:t>
      </w:r>
    </w:p>
    <w:p>
      <w:r>
        <w:br w:type="page"/>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3 · F AM 0054 – Anschreiben Angebotsvorsorge</w:t>
      </w:r>
    </w:p>
    <w:p>
      <w:pPr>
        <w:spacing w:after="120" w:before="0" w:line="276"/>
      </w:pPr>
      <w:r>
        <w:rPr>
          <w:rFonts w:ascii="Arial" w:cs="Arial" w:eastAsia="Arial" w:hAnsi="Arial"/>
          <w:b/>
          <w:bCs/>
          <w:i w:val="false"/>
          <w:iCs w:val="false"/>
          <w:sz w:val="20"/>
          <w:szCs w:val="20"/>
        </w:rPr>
        <w:t xml:space="preserve">Zweck: </w:t>
      </w:r>
      <w:r>
        <w:rPr>
          <w:rFonts w:ascii="Arial" w:cs="Arial" w:eastAsia="Arial" w:hAnsi="Arial"/>
          <w:b w:val="false"/>
          <w:bCs w:val="false"/>
          <w:i w:val="false"/>
          <w:iCs w:val="false"/>
          <w:sz w:val="20"/>
          <w:szCs w:val="20"/>
        </w:rPr>
        <w:t xml:space="preserve">Angebot der Angebotsvorsorge nach § 5 ArbMedVV. Das Formular erfüllt zugleich zwei Funktionen: es ist das Angebot im Sinne der AMR 5.1 und – über die Rückantwort am Ende – der Nachweis, dass das Angebot unterbreitet wurde.</w:t>
      </w:r>
    </w:p>
    <w:p>
      <w:pPr>
        <w:pStyle w:val="Heading2"/>
        <w:spacing w:after="100" w:before="280"/>
      </w:pPr>
      <w:r>
        <w:rPr>
          <w:rFonts w:ascii="Arial" w:cs="Arial" w:eastAsia="Arial" w:hAnsi="Arial"/>
          <w:b/>
          <w:bCs/>
          <w:i w:val="false"/>
          <w:iCs w:val="false"/>
          <w:color w:val="1F3864"/>
          <w:sz w:val="22"/>
          <w:szCs w:val="22"/>
        </w:rPr>
        <w:t xml:space="preserve">Warum dieses Formular besonders wichtig ist</w:t>
      </w:r>
    </w:p>
    <w:p>
      <w:pPr>
        <w:spacing w:after="120" w:before="0" w:line="276"/>
      </w:pPr>
      <w:r>
        <w:rPr>
          <w:rFonts w:ascii="Arial" w:cs="Arial" w:eastAsia="Arial" w:hAnsi="Arial"/>
          <w:b w:val="false"/>
          <w:bCs w:val="false"/>
          <w:i w:val="false"/>
          <w:iCs w:val="false"/>
          <w:sz w:val="20"/>
          <w:szCs w:val="20"/>
        </w:rPr>
        <w:t xml:space="preserve">Bei der Pflichtvorsorge entsteht der Nachweis automatisch über die Vorsorgebescheinigung. Bei der Angebotsvorsorge nicht: Lehnt die Person ab, findet keine Vorsorge statt, es gibt keine Bescheinigung und damit keinen Eintrag in der Vorsorgekartei. Der Arbeitgeber hat seine Pflicht dennoch erfüllt – aber nur, wenn er das Angebot belegen kann. Genau diese Lücke schließt die unterschriebene Rückantwort.</w:t>
      </w:r>
    </w:p>
    <w:p>
      <w:pPr>
        <w:pStyle w:val="Heading2"/>
        <w:spacing w:after="100" w:before="280"/>
      </w:pPr>
      <w:r>
        <w:rPr>
          <w:rFonts w:ascii="Arial" w:cs="Arial" w:eastAsia="Arial" w:hAnsi="Arial"/>
          <w:b/>
          <w:bCs/>
          <w:i w:val="false"/>
          <w:iCs w:val="false"/>
          <w:color w:val="1F3864"/>
          <w:sz w:val="22"/>
          <w:szCs w:val="22"/>
        </w:rPr>
        <w:t xml:space="preserve">Pflichtinhalte nach AMR 5.1 – im Formular bereits enthalten</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5400"/>
        <w:gridCol w:w="4238"/>
      </w:tblGrid>
      <w:tr>
        <w:trPr>
          <w:tblHeader/>
        </w:trPr>
        <w:tc>
          <w:tcPr>
            <w:tcW w:type="dxa" w:w="54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Anforderung (AMR 5.1 Nummer 3 Absatz 2)</w:t>
            </w:r>
          </w:p>
        </w:tc>
        <w:tc>
          <w:tcPr>
            <w:tcW w:type="dxa" w:w="42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Umsetzung im Formular</w:t>
            </w:r>
          </w:p>
        </w:tc>
      </w:tr>
      <w:tr>
        <w:tc>
          <w:tcPr>
            <w:tcW w:type="dxa" w:w="5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Hinweis auf die gesetzliche Verpflichtung des Arbeitgebers</w:t>
            </w:r>
          </w:p>
        </w:tc>
        <w:tc>
          <w:tcPr>
            <w:tcW w:type="dxa" w:w="4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Einleitungssatz mit Verweis auf § 5 ArbMedVV und Anhang</w:t>
            </w:r>
          </w:p>
        </w:tc>
      </w:tr>
      <w:tr>
        <w:tc>
          <w:tcPr>
            <w:tcW w:type="dxa" w:w="5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Mitteilung der auslösenden Gefährdung(en)</w:t>
            </w:r>
          </w:p>
        </w:tc>
        <w:tc>
          <w:tcPr>
            <w:tcW w:type="dxa" w:w="4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Ankreuzteil nach Anhang Teil 1 bis 4 mit Freitextzeilen</w:t>
            </w:r>
          </w:p>
        </w:tc>
      </w:tr>
      <w:tr>
        <w:tc>
          <w:tcPr>
            <w:tcW w:type="dxa" w:w="5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Zusicherung, dass weder Annahme noch Ablehnung Nachteile bringt</w:t>
            </w:r>
          </w:p>
        </w:tc>
        <w:tc>
          <w:tcPr>
            <w:tcW w:type="dxa" w:w="4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Absatz nach dem Ankreuzteil</w:t>
            </w:r>
          </w:p>
        </w:tc>
      </w:tr>
      <w:tr>
        <w:tc>
          <w:tcPr>
            <w:tcW w:type="dxa" w:w="5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Bestätigung: keine Kosten, in der Regel während der Arbeitszeit</w:t>
            </w:r>
          </w:p>
        </w:tc>
        <w:tc>
          <w:tcPr>
            <w:tcW w:type="dxa" w:w="4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Gleicher Absatz</w:t>
            </w:r>
          </w:p>
        </w:tc>
      </w:tr>
      <w:tr>
        <w:tc>
          <w:tcPr>
            <w:tcW w:type="dxa" w:w="5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Hinweis auf die Vorsorgebescheinigung und die ärztliche Schweigepflicht</w:t>
            </w:r>
          </w:p>
        </w:tc>
        <w:tc>
          <w:tcPr>
            <w:tcW w:type="dxa" w:w="4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Folgeabsatz</w:t>
            </w:r>
          </w:p>
        </w:tc>
      </w:tr>
      <w:tr>
        <w:tc>
          <w:tcPr>
            <w:tcW w:type="dxa" w:w="5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Erläuterung, wie ein Termin zustande kommt</w:t>
            </w:r>
          </w:p>
        </w:tc>
        <w:tc>
          <w:tcPr>
            <w:tcW w:type="dxa" w:w="4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Feld „Bitte vereinbaren Sie einen Termin mit …“</w:t>
            </w:r>
          </w:p>
        </w:tc>
      </w:tr>
    </w:tbl>
    <w:p>
      <w:pPr>
        <w:pStyle w:val="Heading2"/>
        <w:spacing w:after="100" w:before="280"/>
      </w:pPr>
      <w:r>
        <w:rPr>
          <w:rFonts w:ascii="Arial" w:cs="Arial" w:eastAsia="Arial" w:hAnsi="Arial"/>
          <w:b/>
          <w:bCs/>
          <w:i w:val="false"/>
          <w:iCs w:val="false"/>
          <w:color w:val="1F3864"/>
          <w:sz w:val="22"/>
          <w:szCs w:val="22"/>
        </w:rPr>
        <w:t xml:space="preserve">Ausfüllen und zustellen</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Kopfbereich und Anrede wie bei F AM 0055.</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Anlässe ankreuzen und die Freitextzeilen konkret ausfüllen. Beispiel für Bildschirmarbeit: „Tätigkeit an Bildschirmgeräten, überwiegender Teil der täglichen Arbeitszeit, Arbeitsplatz Verwaltung, Raum 2.14“.</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Betriebsarzt und Kontaktweg eintragen, Schreiben unterschreiben.</w:t>
      </w:r>
    </w:p>
    <w:p>
      <w:pPr>
        <w:pStyle w:val="ListParagraph"/>
        <w:numPr>
          <w:ilvl w:val="0"/>
          <w:numId w:val="2"/>
        </w:numPr>
        <w:spacing w:after="60" w:line="276"/>
      </w:pPr>
      <w:r>
        <w:rPr>
          <w:rFonts w:ascii="Arial" w:cs="Arial" w:eastAsia="Arial" w:hAnsi="Arial"/>
          <w:b/>
          <w:bCs/>
          <w:i w:val="false"/>
          <w:iCs w:val="false"/>
          <w:sz w:val="20"/>
          <w:szCs w:val="20"/>
        </w:rPr>
        <w:t xml:space="preserve">Persönlich zustellen. </w:t>
      </w:r>
      <w:r>
        <w:rPr>
          <w:rFonts w:ascii="Arial" w:cs="Arial" w:eastAsia="Arial" w:hAnsi="Arial"/>
          <w:b w:val="false"/>
          <w:bCs w:val="false"/>
          <w:i w:val="false"/>
          <w:iCs w:val="false"/>
          <w:sz w:val="20"/>
          <w:szCs w:val="20"/>
        </w:rPr>
        <w:t xml:space="preserve">Das Angebot muss jeder betroffenen Person persönlich in Schrift- oder Textform zugehen (AMR 5.1 Nummer 3 Absatz 1). Aushang, Sammelliste oder Rundmail an einen Verteiler genügen nicht.</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Rückantwort einholen: Die Person kreuzt „Ich nehme das Angebot an“ oder „Ich nehme das Angebot nicht an“ an und unterschreibt.</w:t>
      </w:r>
    </w:p>
    <w:p>
      <w:pPr>
        <w:pStyle w:val="ListParagraph"/>
        <w:numPr>
          <w:ilvl w:val="0"/>
          <w:numId w:val="2"/>
        </w:numPr>
        <w:spacing w:after="60" w:line="276"/>
      </w:pPr>
      <w:r>
        <w:rPr>
          <w:rFonts w:ascii="Arial" w:cs="Arial" w:eastAsia="Arial" w:hAnsi="Arial"/>
          <w:b w:val="false"/>
          <w:bCs w:val="false"/>
          <w:i w:val="false"/>
          <w:iCs w:val="false"/>
          <w:sz w:val="20"/>
          <w:szCs w:val="20"/>
        </w:rPr>
        <w:t xml:space="preserve">Das unterschriebene Original zum Vorsorgeordner nehmen und den Vorgang im Excel-Blatt „Angebotsnachweis“ erfassen.</w:t>
      </w:r>
    </w:p>
    <w:tbl>
      <w:tblPr>
        <w:tblW w:type="dxa" w:w="9638"/>
        <w:tblBorders>
          <w:top w:val="single" w:color="BFBFBF" w:sz="4"/>
          <w:left w:val="single" w:color="BF9000" w:sz="18"/>
          <w:bottom w:val="single" w:color="BFBFBF" w:sz="4"/>
          <w:right w:val="single" w:color="BFBFBF" w:sz="4"/>
          <w:insideH w:val="none"/>
          <w:insideV w:val="none"/>
        </w:tblBorders>
      </w:tblPr>
      <w:tblGrid>
        <w:gridCol w:w="9638"/>
      </w:tblGrid>
      <w:tr>
        <w:tc>
          <w:tcPr>
            <w:tcW w:type="dxa" w:w="9638"/>
            <w:shd w:fill="FFF2CC" w:color="auto" w:val="clear"/>
            <w:tcMar>
              <w:top w:type="dxa" w:w="80"/>
              <w:left w:type="dxa" w:w="110"/>
              <w:bottom w:type="dxa" w:w="80"/>
              <w:right w:type="dxa" w:w="110"/>
            </w:tcMar>
            <w:vAlign w:val="center"/>
          </w:tcPr>
          <w:p>
            <w:pPr>
              <w:spacing w:after="60" w:before="0" w:line="276"/>
            </w:pPr>
            <w:r>
              <w:rPr>
                <w:rFonts w:ascii="Arial" w:cs="Arial" w:eastAsia="Arial" w:hAnsi="Arial"/>
                <w:b/>
                <w:bCs/>
                <w:i w:val="false"/>
                <w:iCs w:val="false"/>
                <w:sz w:val="19"/>
                <w:szCs w:val="19"/>
              </w:rPr>
              <w:t xml:space="preserve">Wenn keine Rückantwort kommt</w:t>
            </w:r>
          </w:p>
          <w:p>
            <w:pPr>
              <w:spacing w:after="60" w:before="0" w:line="276"/>
            </w:pPr>
            <w:r>
              <w:rPr>
                <w:rFonts w:ascii="Arial" w:cs="Arial" w:eastAsia="Arial" w:hAnsi="Arial"/>
                <w:b w:val="false"/>
                <w:bCs w:val="false"/>
                <w:i w:val="false"/>
                <w:iCs w:val="false"/>
                <w:sz w:val="18"/>
                <w:szCs w:val="18"/>
              </w:rPr>
              <w:t xml:space="preserve">Die Angebotspflicht ist mit dem nachweisbaren Zugang des Angebots erfüllt – nicht erst mit der Rückantwort.</w:t>
            </w:r>
          </w:p>
          <w:p>
            <w:pPr>
              <w:spacing w:after="60" w:before="0" w:line="276"/>
            </w:pPr>
            <w:r>
              <w:rPr>
                <w:rFonts w:ascii="Arial" w:cs="Arial" w:eastAsia="Arial" w:hAnsi="Arial"/>
                <w:b w:val="false"/>
                <w:bCs w:val="false"/>
                <w:i w:val="false"/>
                <w:iCs w:val="false"/>
                <w:sz w:val="18"/>
                <w:szCs w:val="18"/>
              </w:rPr>
              <w:t xml:space="preserve">Fehlt die Unterschrift, brauchen Sie einen anderen Zugangsnachweis: Übergabevermerk mit Datum und Zeugen, E-Mail mit Lesebestätigung, Sendeprotokoll oder Zustellnachweis.</w:t>
            </w:r>
          </w:p>
          <w:p>
            <w:pPr>
              <w:spacing w:after="60" w:before="0" w:line="276"/>
            </w:pPr>
            <w:r>
              <w:rPr>
                <w:rFonts w:ascii="Arial" w:cs="Arial" w:eastAsia="Arial" w:hAnsi="Arial"/>
                <w:b w:val="false"/>
                <w:bCs w:val="false"/>
                <w:i w:val="false"/>
                <w:iCs w:val="false"/>
                <w:sz w:val="18"/>
                <w:szCs w:val="18"/>
              </w:rPr>
              <w:t xml:space="preserve">Erfassen Sie den Vorgang im Blatt „Angebotsnachweis“ mit der Reaktion „keine Rückmeldung“ und stellen Sie ihn zur Wiedervorlage.</w:t>
            </w:r>
          </w:p>
          <w:p>
            <w:pPr>
              <w:spacing w:after="60" w:before="0" w:line="276"/>
            </w:pPr>
            <w:r>
              <w:rPr>
                <w:rFonts w:ascii="Arial" w:cs="Arial" w:eastAsia="Arial" w:hAnsi="Arial"/>
                <w:b w:val="false"/>
                <w:bCs w:val="false"/>
                <w:i w:val="false"/>
                <w:iCs w:val="false"/>
                <w:sz w:val="18"/>
                <w:szCs w:val="18"/>
              </w:rPr>
              <w:t xml:space="preserve">Empfehlung: den Versandweg im Betrieb einheitlich festlegen, damit der Zugangsnachweis nicht im Einzelfall improvisiert werden muss.</w:t>
            </w:r>
          </w:p>
        </w:tc>
      </w:tr>
    </w:tbl>
    <w:p>
      <w:pPr>
        <w:pStyle w:val="Heading2"/>
        <w:spacing w:after="100" w:before="280"/>
      </w:pPr>
      <w:r>
        <w:rPr>
          <w:rFonts w:ascii="Arial" w:cs="Arial" w:eastAsia="Arial" w:hAnsi="Arial"/>
          <w:b/>
          <w:bCs/>
          <w:i w:val="false"/>
          <w:iCs w:val="false"/>
          <w:color w:val="1F3864"/>
          <w:sz w:val="22"/>
          <w:szCs w:val="22"/>
        </w:rPr>
        <w:t xml:space="preserve">Ablehnung – und dann?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Eine Begründung ist nicht erforderlich und darf nicht verlangt werden.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Die Ablehnung wird NICHT in die Vorsorgekartei eingetragen. Dort steht nur, was tatsächlich stattgefunden hat.</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Die Angebotspflicht bleibt bestehen. Das Angebot ist in der Maximalfrist erneut zu unterbreiten (§ 5 Absatz 1 Satz 3 ArbMedVV, AMR 2.1 Nummer 3 Absatz 9).</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Führt die Person Tätigkeiten mit mehreren Vorsorgeanlässen aus, ist für das erneute Angebot die kürzeste festgelegte Frist maßgeblich.</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Die Person kann jederzeit auch vor Fristablauf auf das Angebot zurückkommen. Das sollte im Betrieb bekannt sein.</w:t>
      </w:r>
    </w:p>
    <w:p>
      <w:r>
        <w:br w:type="page"/>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4 · Fristen nach AMR 2.1</w:t>
      </w:r>
    </w:p>
    <w:p>
      <w:pPr>
        <w:spacing w:after="120" w:before="0" w:line="276"/>
      </w:pPr>
      <w:r>
        <w:rPr>
          <w:rFonts w:ascii="Arial" w:cs="Arial" w:eastAsia="Arial" w:hAnsi="Arial"/>
          <w:b w:val="false"/>
          <w:bCs w:val="false"/>
          <w:i w:val="false"/>
          <w:iCs w:val="false"/>
          <w:sz w:val="20"/>
          <w:szCs w:val="20"/>
        </w:rPr>
        <w:t xml:space="preserve">Die folgenden Fristen sind Maximalfristen. Sie dürfen nicht überschritten werden; kürzere Fristen sind stets zulässig und teilweise geboten.</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2400"/>
        <w:gridCol w:w="3200"/>
        <w:gridCol w:w="4038"/>
      </w:tblGrid>
      <w:tr>
        <w:trPr>
          <w:tblHeader/>
        </w:trPr>
        <w:tc>
          <w:tcPr>
            <w:tcW w:type="dxa" w:w="24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Vorsorge</w:t>
            </w:r>
          </w:p>
        </w:tc>
        <w:tc>
          <w:tcPr>
            <w:tcW w:type="dxa" w:w="32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Frist</w:t>
            </w:r>
          </w:p>
        </w:tc>
        <w:tc>
          <w:tcPr>
            <w:tcW w:type="dxa" w:w="40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Anwendungsfall</w:t>
            </w:r>
          </w:p>
        </w:tc>
      </w:tr>
      <w:tr>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Erste Vorsorge</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innerhalb von 3 Monaten vor Aufnahme der Tätigkeit</w:t>
            </w:r>
          </w:p>
        </w:tc>
        <w:tc>
          <w:tcPr>
            <w:tcW w:type="dxa" w:w="4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Alle Anlässe</w:t>
            </w:r>
          </w:p>
        </w:tc>
      </w:tr>
      <w:tr>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Zweite Vorsorge</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spätestens 6 Monate nach Aufnahme der Tätigkeit</w:t>
            </w:r>
          </w:p>
        </w:tc>
        <w:tc>
          <w:tcPr>
            <w:tcW w:type="dxa" w:w="4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Atemwegs- oder hautsensibilisierende Gefahrstoffe (H334, H317), sensibilisierend oder toxisch wirkende biologische Arbeitsstoffe, Feuchtarbeit</w:t>
            </w:r>
          </w:p>
        </w:tc>
      </w:tr>
      <w:tr>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Zweite Vorsorge</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spätestens 24 Monate</w:t>
            </w:r>
          </w:p>
        </w:tc>
        <w:tc>
          <w:tcPr>
            <w:tcW w:type="dxa" w:w="4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Tropen, Subtropen, sonstige Auslandsaufenthalte mit besonderen klimatischen Belastungen und Infektionsgefährdungen</w:t>
            </w:r>
          </w:p>
        </w:tc>
      </w:tr>
      <w:tr>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Zweite Vorsorge</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spätestens 12 Monate</w:t>
            </w:r>
          </w:p>
        </w:tc>
        <w:tc>
          <w:tcPr>
            <w:tcW w:type="dxa" w:w="4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Alle übrigen Anlässe</w:t>
            </w:r>
          </w:p>
        </w:tc>
      </w:tr>
      <w:tr>
        <w:tc>
          <w:tcPr>
            <w:tcW w:type="dxa" w:w="2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Jede weitere Vorsorge</w:t>
            </w:r>
          </w:p>
        </w:tc>
        <w:tc>
          <w:tcPr>
            <w:tcW w:type="dxa" w:w="3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spätestens 36 Monate nach der vorangegangenen</w:t>
            </w:r>
          </w:p>
        </w:tc>
        <w:tc>
          <w:tcPr>
            <w:tcW w:type="dxa" w:w="4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Alle Anlässe, einschließlich nachgehender Vorsorge</w:t>
            </w:r>
          </w:p>
        </w:tc>
      </w:tr>
    </w:tbl>
    <w:p>
      <w:pPr>
        <w:pStyle w:val="Heading2"/>
        <w:spacing w:after="100" w:before="280"/>
      </w:pPr>
      <w:r>
        <w:rPr>
          <w:rFonts w:ascii="Arial" w:cs="Arial" w:eastAsia="Arial" w:hAnsi="Arial"/>
          <w:b/>
          <w:bCs/>
          <w:i w:val="false"/>
          <w:iCs w:val="false"/>
          <w:color w:val="1F3864"/>
          <w:sz w:val="22"/>
          <w:szCs w:val="22"/>
        </w:rPr>
        <w:t xml:space="preserve">Was die Frist verkürzt</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Der Arzt legt in der Vorsorgebescheinigung individuell fest, wann die nächste Vorsorge angezeigt ist. Diese Angabe geht jeder betrieblichen Richtfrist vor.</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Kürzere Fristen können nach Beratung durch den Betriebsarzt generell für einen oder mehrere Arbeitsplätze in der Gefährdungsbeurteilung festgelegt werden.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Ändert sich die Gefährdung, ist die Gefährdungsbeurteilung zu überprüfen und Vorsorge gegebenenfalls unabhängig von den zuvor festgelegten Fristen zu veranlassen oder anzubieten.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Bei mehreren Vorsorgeanlässen ist eine einheitliche Frist anzustreben und alles in einem Termin zusammenzufassen (ganzheitlicher Ansatz).</w:t>
      </w:r>
    </w:p>
    <w:p>
      <w:pPr>
        <w:pStyle w:val="Heading2"/>
        <w:spacing w:after="100" w:before="280"/>
      </w:pPr>
      <w:r>
        <w:rPr>
          <w:rFonts w:ascii="Arial" w:cs="Arial" w:eastAsia="Arial" w:hAnsi="Arial"/>
          <w:b/>
          <w:bCs/>
          <w:i w:val="false"/>
          <w:iCs w:val="false"/>
          <w:color w:val="1F3864"/>
          <w:sz w:val="22"/>
          <w:szCs w:val="22"/>
        </w:rPr>
        <w:t xml:space="preserve">Umsetzung im Excel</w:t>
      </w:r>
    </w:p>
    <w:p>
      <w:pPr>
        <w:spacing w:after="120" w:before="0" w:line="276"/>
      </w:pPr>
      <w:r>
        <w:rPr>
          <w:rFonts w:ascii="Arial" w:cs="Arial" w:eastAsia="Arial" w:hAnsi="Arial"/>
          <w:b w:val="false"/>
          <w:bCs w:val="false"/>
          <w:i w:val="false"/>
          <w:iCs w:val="false"/>
          <w:sz w:val="20"/>
          <w:szCs w:val="20"/>
        </w:rPr>
        <w:t xml:space="preserve">Tragen Sie im Blatt „Vorsorgekartei“ in der Spalte „Frist (Monate)“ die Zahl aus der Vorsorgebescheinigung ein, nicht die betriebliche Richtfrist aus der Anlassmatrix. Der Folgetermin und der Status berechnen sich daraus automatisch. Für die zweite Vorsorge tragen Sie also 6, 12 oder 24 ein, ab der dritten in der Regel 36 – sofern der Arzt nichts anderes vorgibt.</w:t>
      </w:r>
    </w:p>
    <w:p>
      <w:r>
        <w:br w:type="page"/>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5 · Vorsorgekartei – F AM 0049 und Excel</w:t>
      </w:r>
    </w:p>
    <w:p>
      <w:pPr>
        <w:spacing w:after="120" w:before="0" w:line="276"/>
      </w:pPr>
      <w:r>
        <w:rPr>
          <w:rFonts w:ascii="Arial" w:cs="Arial" w:eastAsia="Arial" w:hAnsi="Arial"/>
          <w:b w:val="false"/>
          <w:bCs w:val="false"/>
          <w:i w:val="false"/>
          <w:iCs w:val="false"/>
          <w:sz w:val="20"/>
          <w:szCs w:val="20"/>
        </w:rPr>
        <w:t xml:space="preserve">Sie haben zwei Werkzeuge für dieselbe gesetzliche Pflicht aus § 3 Absatz 4 ArbMedVV. Legen Sie fest, welches davon das führende System ist, sonst laufen die Bestände auseinander.</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2200"/>
        <w:gridCol w:w="3700"/>
        <w:gridCol w:w="3738"/>
      </w:tblGrid>
      <w:tr>
        <w:trPr>
          <w:tblHeader/>
        </w:trPr>
        <w:tc>
          <w:tcPr>
            <w:tcW w:type="dxa" w:w="22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
            </w:r>
          </w:p>
        </w:tc>
        <w:tc>
          <w:tcPr>
            <w:tcW w:type="dxa" w:w="37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F AM 0049 (Word)</w:t>
            </w:r>
          </w:p>
        </w:tc>
        <w:tc>
          <w:tcPr>
            <w:tcW w:type="dxa" w:w="37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Vorsorgekartei (Excel)</w:t>
            </w:r>
          </w:p>
        </w:tc>
      </w:tr>
      <w:tr>
        <w:tc>
          <w:tcPr>
            <w:tcW w:type="dxa" w:w="2200"/>
            <w:tcMar>
              <w:top w:type="dxa" w:w="80"/>
              <w:left w:type="dxa" w:w="110"/>
              <w:bottom w:type="dxa" w:w="80"/>
              <w:right w:type="dxa" w:w="110"/>
            </w:tcMar>
            <w:vAlign w:val="center"/>
          </w:tcPr>
          <w:p>
            <w:pPr>
              <w:spacing w:after="0" w:before="0" w:line="276"/>
            </w:pPr>
            <w:r>
              <w:rPr>
                <w:rFonts w:ascii="Arial" w:cs="Arial" w:eastAsia="Arial" w:hAnsi="Arial"/>
                <w:b/>
                <w:bCs/>
                <w:i w:val="false"/>
                <w:iCs w:val="false"/>
                <w:sz w:val="18"/>
                <w:szCs w:val="18"/>
              </w:rPr>
              <w:t xml:space="preserve">Blickrichtung</w:t>
            </w:r>
          </w:p>
        </w:tc>
        <w:tc>
          <w:tcPr>
            <w:tcW w:type="dxa" w:w="37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Eine Person, alle Vorsorgetermine</w:t>
            </w:r>
          </w:p>
        </w:tc>
        <w:tc>
          <w:tcPr>
            <w:tcW w:type="dxa" w:w="3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Alle Personen, alle Termine</w:t>
            </w:r>
          </w:p>
        </w:tc>
      </w:tr>
      <w:tr>
        <w:tc>
          <w:tcPr>
            <w:tcW w:type="dxa" w:w="2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Stärke</w:t>
            </w:r>
          </w:p>
        </w:tc>
        <w:tc>
          <w:tcPr>
            <w:tcW w:type="dxa" w:w="37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Ausdruckfähiger Einzelnachweis; enthält Stammdaten für die nachgehende Vorsorge</w:t>
            </w:r>
          </w:p>
        </w:tc>
        <w:tc>
          <w:tcPr>
            <w:tcW w:type="dxa" w:w="3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Fristenüberwachung, Statusanzeige, Angebotsnachweis, Filterung</w:t>
            </w:r>
          </w:p>
        </w:tc>
      </w:tr>
      <w:tr>
        <w:tc>
          <w:tcPr>
            <w:tcW w:type="dxa" w:w="22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Schwäche</w:t>
            </w:r>
          </w:p>
        </w:tc>
        <w:tc>
          <w:tcPr>
            <w:tcW w:type="dxa" w:w="37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Keine Fristenüberwachung über den Bestand hinweg</w:t>
            </w:r>
          </w:p>
        </w:tc>
        <w:tc>
          <w:tcPr>
            <w:tcW w:type="dxa" w:w="37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Kein Einzelblatt zur Aushändigung ohne Aufbereitung</w:t>
            </w:r>
          </w:p>
        </w:tc>
      </w:tr>
      <w:tr>
        <w:tc>
          <w:tcPr>
            <w:tcW w:type="dxa" w:w="22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Empfehlung</w:t>
            </w:r>
          </w:p>
        </w:tc>
        <w:tc>
          <w:tcPr>
            <w:tcW w:type="dxa" w:w="3700"/>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Ausdruck bei Austritt und für die Meldung zur nachgehenden Vorsorge</w:t>
            </w:r>
          </w:p>
        </w:tc>
        <w:tc>
          <w:tcPr>
            <w:tcW w:type="dxa" w:w="3738"/>
            <w:shd w:fill="F2F2F2" w:color="auto" w:val="clear"/>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Führendes System für den laufenden Betrieb</w:t>
            </w:r>
          </w:p>
        </w:tc>
      </w:tr>
    </w:tbl>
    <w:p>
      <w:pPr>
        <w:pStyle w:val="Heading2"/>
        <w:spacing w:after="100" w:before="280"/>
      </w:pPr>
      <w:r>
        <w:rPr>
          <w:rFonts w:ascii="Arial" w:cs="Arial" w:eastAsia="Arial" w:hAnsi="Arial"/>
          <w:b/>
          <w:bCs/>
          <w:i w:val="false"/>
          <w:iCs w:val="false"/>
          <w:color w:val="1F3864"/>
          <w:sz w:val="22"/>
          <w:szCs w:val="22"/>
        </w:rPr>
        <w:t xml:space="preserve">Was in die Kartei gehört</w:t>
      </w:r>
    </w:p>
    <w:p>
      <w:pPr>
        <w:spacing w:after="120" w:before="0" w:line="276"/>
      </w:pPr>
      <w:r>
        <w:rPr>
          <w:rFonts w:ascii="Arial" w:cs="Arial" w:eastAsia="Arial" w:hAnsi="Arial"/>
          <w:b w:val="false"/>
          <w:bCs w:val="false"/>
          <w:i w:val="false"/>
          <w:iCs w:val="false"/>
          <w:sz w:val="20"/>
          <w:szCs w:val="20"/>
        </w:rPr>
        <w:t xml:space="preserve">§ 3 Absatz 4 ArbMedVV verlangt Angaben darüber, DASS, WANN und AUS WELCHEM ANLASS arbeitsmedizinische Vorsorge stattgefunden hat. Quelle jeder Zeile ist die Vorsorgebescheinigung des Arztes. Die Kartei ist für Pflicht-, Angebots- und Wunschvorsorge gleichermaßen zu führen und darf automatisiert geführt werden.</w:t>
      </w:r>
    </w:p>
    <w:tbl>
      <w:tblPr>
        <w:tblW w:type="dxa" w:w="9638"/>
        <w:tblBorders>
          <w:top w:val="single" w:color="BFBFBF" w:sz="4"/>
          <w:left w:val="single" w:color="C00000" w:sz="18"/>
          <w:bottom w:val="single" w:color="BFBFBF" w:sz="4"/>
          <w:right w:val="single" w:color="BFBFBF" w:sz="4"/>
          <w:insideH w:val="none"/>
          <w:insideV w:val="none"/>
        </w:tblBorders>
      </w:tblPr>
      <w:tblGrid>
        <w:gridCol w:w="9638"/>
      </w:tblGrid>
      <w:tr>
        <w:tc>
          <w:tcPr>
            <w:tcW w:type="dxa" w:w="9638"/>
            <w:shd w:fill="FADBD8" w:color="auto" w:val="clear"/>
            <w:tcMar>
              <w:top w:type="dxa" w:w="80"/>
              <w:left w:type="dxa" w:w="110"/>
              <w:bottom w:type="dxa" w:w="80"/>
              <w:right w:type="dxa" w:w="110"/>
            </w:tcMar>
            <w:vAlign w:val="center"/>
          </w:tcPr>
          <w:p>
            <w:pPr>
              <w:spacing w:after="60" w:before="0" w:line="276"/>
            </w:pPr>
            <w:r>
              <w:rPr>
                <w:rFonts w:ascii="Arial" w:cs="Arial" w:eastAsia="Arial" w:hAnsi="Arial"/>
                <w:b/>
                <w:bCs/>
                <w:i w:val="false"/>
                <w:iCs w:val="false"/>
                <w:sz w:val="19"/>
                <w:szCs w:val="19"/>
              </w:rPr>
              <w:t xml:space="preserve">Was auf keinen Fall hineingehört</w:t>
            </w:r>
          </w:p>
          <w:p>
            <w:pPr>
              <w:spacing w:after="60" w:before="0" w:line="276"/>
            </w:pPr>
            <w:r>
              <w:rPr>
                <w:rFonts w:ascii="Arial" w:cs="Arial" w:eastAsia="Arial" w:hAnsi="Arial"/>
                <w:b w:val="false"/>
                <w:bCs w:val="false"/>
                <w:i w:val="false"/>
                <w:iCs w:val="false"/>
                <w:sz w:val="18"/>
                <w:szCs w:val="18"/>
              </w:rPr>
              <w:t xml:space="preserve">Befunde, Diagnosen, Untersuchungsergebnisse, Laborwerte, Impfstatus.</w:t>
            </w:r>
          </w:p>
          <w:p>
            <w:pPr>
              <w:spacing w:after="60" w:before="0" w:line="276"/>
            </w:pPr>
            <w:r>
              <w:rPr>
                <w:rFonts w:ascii="Arial" w:cs="Arial" w:eastAsia="Arial" w:hAnsi="Arial"/>
                <w:b w:val="false"/>
                <w:bCs w:val="false"/>
                <w:i w:val="false"/>
                <w:iCs w:val="false"/>
                <w:sz w:val="18"/>
                <w:szCs w:val="18"/>
              </w:rPr>
              <w:t xml:space="preserve">Aussagen zu gesundheitlichen Bedenken oder zur Eignung. Solche Aussagen sind seit 2013 nicht mehr Bestandteil der Vorsorgebescheinigung und dürfen vom Arzt auch nicht angefordert werden.</w:t>
            </w:r>
          </w:p>
          <w:p>
            <w:pPr>
              <w:spacing w:after="60" w:before="0" w:line="276"/>
            </w:pPr>
            <w:r>
              <w:rPr>
                <w:rFonts w:ascii="Arial" w:cs="Arial" w:eastAsia="Arial" w:hAnsi="Arial"/>
                <w:b w:val="false"/>
                <w:bCs w:val="false"/>
                <w:i w:val="false"/>
                <w:iCs w:val="false"/>
                <w:sz w:val="18"/>
                <w:szCs w:val="18"/>
              </w:rPr>
              <w:t xml:space="preserve">Ablehnungen von Angebotsvorsorge – die gehören ausschließlich in den Angebotsnachweis.</w:t>
            </w:r>
          </w:p>
          <w:p>
            <w:pPr>
              <w:spacing w:after="60" w:before="0" w:line="276"/>
            </w:pPr>
            <w:r>
              <w:rPr>
                <w:rFonts w:ascii="Arial" w:cs="Arial" w:eastAsia="Arial" w:hAnsi="Arial"/>
                <w:b w:val="false"/>
                <w:bCs w:val="false"/>
                <w:i w:val="false"/>
                <w:iCs w:val="false"/>
                <w:sz w:val="18"/>
                <w:szCs w:val="18"/>
              </w:rPr>
              <w:t xml:space="preserve">Freitextvermerke über Gesundheitszustand, Fehlzeiten oder Gespräche mit dem Betriebsarzt.</w:t>
            </w:r>
          </w:p>
        </w:tc>
      </w:tr>
    </w:tbl>
    <w:p>
      <w:pPr>
        <w:pStyle w:val="Heading2"/>
        <w:spacing w:after="100" w:before="280"/>
      </w:pPr>
      <w:r>
        <w:rPr>
          <w:rFonts w:ascii="Arial" w:cs="Arial" w:eastAsia="Arial" w:hAnsi="Arial"/>
          <w:b/>
          <w:bCs/>
          <w:i w:val="false"/>
          <w:iCs w:val="false"/>
          <w:color w:val="1F3864"/>
          <w:sz w:val="22"/>
          <w:szCs w:val="22"/>
        </w:rPr>
        <w:t xml:space="preserve">Hinweis zu den Stammdaten in F AM 0049</w:t>
      </w:r>
    </w:p>
    <w:p>
      <w:pPr>
        <w:spacing w:after="120" w:before="0" w:line="276"/>
      </w:pPr>
      <w:r>
        <w:rPr>
          <w:rFonts w:ascii="Arial" w:cs="Arial" w:eastAsia="Arial" w:hAnsi="Arial"/>
          <w:b w:val="false"/>
          <w:bCs w:val="false"/>
          <w:i w:val="false"/>
          <w:iCs w:val="false"/>
          <w:sz w:val="20"/>
          <w:szCs w:val="20"/>
        </w:rPr>
        <w:t xml:space="preserve">Das Word-Formular sieht Geburtsdatum und Privatanschrift vor. Für die Kartei nach § 3 Absatz 4 ArbMedVV ist das nicht erforderlich – diese Felder stammen aus den Anforderungen an die nachgehende Vorsorge, bei der ehemals Beschäftigte über den Unfallversicherungsträger auch nach dem Ausscheiden erreichbar sein müssen.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Bestehen im Betrieb Anlässe für nachgehende Vorsorge (krebserzeugende oder erbgutverändernde Gefahrstoffe, Blei, Hochtemperaturwollen, Asbest), füllen Sie die Felder aus.</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Bestehen solche Anlässe nicht, lassen Sie sie leer. Datenminimierung ist keine Kür, sondern Pflicht nach Artikel 5 DSGVO.</w:t>
      </w:r>
    </w:p>
    <w:p>
      <w:pPr>
        <w:pStyle w:val="Heading2"/>
        <w:spacing w:after="100" w:before="280"/>
      </w:pPr>
      <w:r>
        <w:rPr>
          <w:rFonts w:ascii="Arial" w:cs="Arial" w:eastAsia="Arial" w:hAnsi="Arial"/>
          <w:b/>
          <w:bCs/>
          <w:i w:val="false"/>
          <w:iCs w:val="false"/>
          <w:color w:val="1F3864"/>
          <w:sz w:val="22"/>
          <w:szCs w:val="22"/>
        </w:rPr>
        <w:t xml:space="preserve">Excel – Bedienung</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2600"/>
        <w:gridCol w:w="7038"/>
      </w:tblGrid>
      <w:tr>
        <w:trPr>
          <w:tblHeader/>
        </w:trPr>
        <w:tc>
          <w:tcPr>
            <w:tcW w:type="dxa" w:w="26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Blatt</w:t>
            </w:r>
          </w:p>
        </w:tc>
        <w:tc>
          <w:tcPr>
            <w:tcW w:type="dxa" w:w="70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Verwendung</w:t>
            </w:r>
          </w:p>
        </w:tc>
      </w:tr>
      <w:tr>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Anleitung</w:t>
            </w:r>
          </w:p>
        </w:tc>
        <w:tc>
          <w:tcPr>
            <w:tcW w:type="dxa" w:w="7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Kurzfassung dieser Hinweise, bleibt in der Datei</w:t>
            </w:r>
          </w:p>
        </w:tc>
      </w:tr>
      <w:tr>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Vorsorgekartei</w:t>
            </w:r>
          </w:p>
        </w:tc>
        <w:tc>
          <w:tcPr>
            <w:tcW w:type="dxa" w:w="7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Eine Zeile je durchgeführter Vorsorge. Eingabe: Name, Personalnummer, Bereich, Anlass, Art, Datum, Frist. Folgetermin, Restlaufzeit und Status rechnen automatisch.</w:t>
            </w:r>
          </w:p>
        </w:tc>
      </w:tr>
      <w:tr>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Angebotsnachweis</w:t>
            </w:r>
          </w:p>
        </w:tc>
        <w:tc>
          <w:tcPr>
            <w:tcW w:type="dxa" w:w="7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Eine Zeile je Angebot. Eingabe: Datum, Form, Zugangsnachweis, Reaktion, Intervall. Fälligkeit des erneuten Angebots und Status rechnen automatisch.</w:t>
            </w:r>
          </w:p>
        </w:tc>
      </w:tr>
      <w:tr>
        <w:tc>
          <w:tcPr>
            <w:tcW w:type="dxa" w:w="26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Anlassmatrix</w:t>
            </w:r>
          </w:p>
        </w:tc>
        <w:tc>
          <w:tcPr>
            <w:tcW w:type="dxa" w:w="70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Ergebnis aus F AS 0001: Tätigkeit, Gefährdung, Anlass, Art, Richtfrist, Zahl der Betroffenen, Quelle in der Gefährdungsbeurteilung.</w:t>
            </w:r>
          </w:p>
        </w:tc>
      </w:tr>
    </w:tbl>
    <w:p>
      <w:pPr>
        <w:pStyle w:val="Heading3"/>
        <w:spacing w:after="80" w:before="200"/>
      </w:pPr>
      <w:r>
        <w:rPr>
          <w:rFonts w:ascii="Arial" w:cs="Arial" w:eastAsia="Arial" w:hAnsi="Arial"/>
          <w:b/>
          <w:bCs/>
          <w:i w:val="false"/>
          <w:iCs w:val="false"/>
          <w:color w:val="2E5496"/>
          <w:sz w:val="20"/>
          <w:szCs w:val="20"/>
        </w:rPr>
        <w:t xml:space="preserve">Farbcodierung</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Blaue Schrift kennzeichnet Eingabefelder.</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Schwarze Schrift kennzeichnet Formelfelder – nicht überschreiben.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Gelb hinterlegte Zeilen sind Beispiele und vor dem produktiven Einsatz zu löschen.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Der Status färbt sich rot bei Überfälligkeit, gelb ab 90 Tagen vor Fälligkeit und grün darüber hinaus.</w:t>
      </w:r>
    </w:p>
    <w:p>
      <w:pPr>
        <w:pStyle w:val="Heading3"/>
        <w:spacing w:after="80" w:before="200"/>
      </w:pPr>
      <w:r>
        <w:rPr>
          <w:rFonts w:ascii="Arial" w:cs="Arial" w:eastAsia="Arial" w:hAnsi="Arial"/>
          <w:b/>
          <w:bCs/>
          <w:i w:val="false"/>
          <w:iCs w:val="false"/>
          <w:color w:val="2E5496"/>
          <w:sz w:val="20"/>
          <w:szCs w:val="20"/>
        </w:rPr>
        <w:t xml:space="preserve">Empfohlener Rhythmus</w:t>
      </w:r>
    </w:p>
    <w:p>
      <w:pPr>
        <w:spacing w:after="120" w:before="0" w:line="276"/>
      </w:pPr>
      <w:r>
        <w:rPr>
          <w:rFonts w:ascii="Arial" w:cs="Arial" w:eastAsia="Arial" w:hAnsi="Arial"/>
          <w:b w:val="false"/>
          <w:bCs w:val="false"/>
          <w:i w:val="false"/>
          <w:iCs w:val="false"/>
          <w:sz w:val="20"/>
          <w:szCs w:val="20"/>
        </w:rPr>
        <w:t xml:space="preserve">Monatlich nach Status filtern und alle roten und gelben Zeilen abarbeiten. Bei 90 Tagen Vorlauf bleibt genug Zeit für Terminvereinbarung, Urlaub und Krankheit, ohne dass eine Maximalfrist reißt.</w:t>
      </w:r>
    </w:p>
    <w:p>
      <w:r>
        <w:br w:type="page"/>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6 · Aufbewahrung, Auskunft und Löschung</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3000"/>
        <w:gridCol w:w="6638"/>
      </w:tblGrid>
      <w:tr>
        <w:trPr>
          <w:tblHeader/>
        </w:trPr>
        <w:tc>
          <w:tcPr>
            <w:tcW w:type="dxa" w:w="30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Vorgang</w:t>
            </w:r>
          </w:p>
        </w:tc>
        <w:tc>
          <w:tcPr>
            <w:tcW w:type="dxa" w:w="66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Regelung</w:t>
            </w:r>
          </w:p>
        </w:tc>
      </w:tr>
      <w:tr>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Regelfall</w:t>
            </w:r>
          </w:p>
        </w:tc>
        <w:tc>
          <w:tcPr>
            <w:tcW w:type="dxa" w:w="66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Aufbewahrung bis zur Beendigung des Beschäftigungsverhältnisses, anschließend Löschung (§ 3 Absatz 4 Satz 2 ArbMedVV).</w:t>
            </w:r>
          </w:p>
        </w:tc>
      </w:tr>
      <w:tr>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Ausnahmen</w:t>
            </w:r>
          </w:p>
        </w:tc>
        <w:tc>
          <w:tcPr>
            <w:tcW w:type="dxa" w:w="66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Andere Rechtsvorschriften können längere Fristen vorsehen – insbesondere Gefahrstoffrecht, Strahlenschutzrecht und die nachgehende Vorsorge. In diesen Fällen Grund und Frist in der Spalte „Bemerkung“ vermerken.</w:t>
            </w:r>
          </w:p>
        </w:tc>
      </w:tr>
      <w:tr>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Bei Austritt</w:t>
            </w:r>
          </w:p>
        </w:tc>
        <w:tc>
          <w:tcPr>
            <w:tcW w:type="dxa" w:w="66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Der beschäftigten Person ist eine Kopie der sie betreffenden Angaben auszuhändigen (§ 3 Absatz 4 Satz 4 ArbMedVV). Dafür eignet sich der Ausdruck aus F AM 0049.</w:t>
            </w:r>
          </w:p>
        </w:tc>
      </w:tr>
      <w:tr>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Behörde</w:t>
            </w:r>
          </w:p>
        </w:tc>
        <w:tc>
          <w:tcPr>
            <w:tcW w:type="dxa" w:w="66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Der zuständigen Behörde ist auf Anordnung eine Kopie der Vorsorgekartei zu übermitteln (§ 3 Absatz 4 Satz 3 ArbMedVV).</w:t>
            </w:r>
          </w:p>
        </w:tc>
      </w:tr>
      <w:tr>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Auskunft</w:t>
            </w:r>
          </w:p>
        </w:tc>
        <w:tc>
          <w:tcPr>
            <w:tcW w:type="dxa" w:w="66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Das Auskunftsrecht nach Artikel 15 DSGVO bzw. § 34 BDSG bleibt unberührt.</w:t>
            </w:r>
          </w:p>
        </w:tc>
      </w:tr>
      <w:tr>
        <w:tc>
          <w:tcPr>
            <w:tcW w:type="dxa" w:w="30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Zugriff</w:t>
            </w:r>
          </w:p>
        </w:tc>
        <w:tc>
          <w:tcPr>
            <w:tcW w:type="dxa" w:w="66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Zugriff nur für die Personen, die die Kartei führen. Führungskräfte brauchen die Kartei nicht – sie benötigen lediglich die Information, ob eine Tätigkeit ausgeübt werden darf.</w:t>
            </w:r>
          </w:p>
        </w:tc>
      </w:tr>
    </w:tbl>
    <w:p>
      <w:pPr>
        <w:pStyle w:val="Heading2"/>
        <w:spacing w:after="100" w:before="280"/>
      </w:pPr>
      <w:r>
        <w:rPr>
          <w:rFonts w:ascii="Arial" w:cs="Arial" w:eastAsia="Arial" w:hAnsi="Arial"/>
          <w:b/>
          <w:bCs/>
          <w:i w:val="false"/>
          <w:iCs w:val="false"/>
          <w:color w:val="1F3864"/>
          <w:sz w:val="22"/>
          <w:szCs w:val="22"/>
        </w:rPr>
        <w:t xml:space="preserve">Bußgeldrelevanz</w:t>
      </w:r>
    </w:p>
    <w:p>
      <w:pPr>
        <w:spacing w:after="120" w:before="0" w:line="276"/>
      </w:pPr>
      <w:r>
        <w:rPr>
          <w:rFonts w:ascii="Arial" w:cs="Arial" w:eastAsia="Arial" w:hAnsi="Arial"/>
          <w:b w:val="false"/>
          <w:bCs w:val="false"/>
          <w:i w:val="false"/>
          <w:iCs w:val="false"/>
          <w:sz w:val="20"/>
          <w:szCs w:val="20"/>
        </w:rPr>
        <w:t xml:space="preserve">Eine nicht, nicht richtig oder nicht vollständig geführte Vorsorgekartei ist bußgeldbewehrt. Gleiches gilt für das Nichtanbieten oder nicht rechtzeitige Anbieten einer Angebotsvorsorge sowie für die nicht oder nicht rechtzeitig veranlasste Pflichtvorsorge; unter bestimmten Umständen kommt eine Strafbarkeit in Betracht.</w:t>
      </w:r>
    </w:p>
    <w:p>
      <w:r>
        <w:br w:type="page"/>
      </w:r>
    </w:p>
    <w:p>
      <w:pPr>
        <w:pStyle w:val="Heading1"/>
        <w:pBdr>
          <w:bottom w:val="single" w:color="1F3864" w:sz="12" w:space="4"/>
        </w:pBdr>
        <w:spacing w:after="200" w:before="0"/>
      </w:pPr>
      <w:r>
        <w:rPr>
          <w:rFonts w:ascii="Arial" w:cs="Arial" w:eastAsia="Arial" w:hAnsi="Arial"/>
          <w:b/>
          <w:bCs/>
          <w:i w:val="false"/>
          <w:iCs w:val="false"/>
          <w:color w:val="1F3864"/>
          <w:sz w:val="28"/>
          <w:szCs w:val="28"/>
        </w:rPr>
        <w:t xml:space="preserve">7 · Häufige Fehler</w:t>
      </w:r>
    </w:p>
    <w:tbl>
      <w:tblPr>
        <w:tblW w:type="dxa" w:w="9638"/>
        <w:tblBorders>
          <w:top w:val="single" w:color="BFBFBF" w:sz="6"/>
          <w:left w:val="single" w:color="BFBFBF" w:sz="6"/>
          <w:bottom w:val="single" w:color="BFBFBF" w:sz="6"/>
          <w:right w:val="single" w:color="BFBFBF" w:sz="6"/>
          <w:insideH w:val="single" w:color="BFBFBF" w:sz="6"/>
          <w:insideV w:val="single" w:color="BFBFBF" w:sz="6"/>
        </w:tblBorders>
      </w:tblPr>
      <w:tblGrid>
        <w:gridCol w:w="4400"/>
        <w:gridCol w:w="5238"/>
      </w:tblGrid>
      <w:tr>
        <w:trPr>
          <w:tblHeader/>
        </w:trPr>
        <w:tc>
          <w:tcPr>
            <w:tcW w:type="dxa" w:w="4400"/>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Fehler</w:t>
            </w:r>
          </w:p>
        </w:tc>
        <w:tc>
          <w:tcPr>
            <w:tcW w:type="dxa" w:w="5238"/>
            <w:shd w:fill="1F3864" w:color="auto" w:val="clear"/>
            <w:tcMar>
              <w:top w:type="dxa" w:w="80"/>
              <w:left w:type="dxa" w:w="110"/>
              <w:bottom w:type="dxa" w:w="80"/>
              <w:right w:type="dxa" w:w="110"/>
            </w:tcMar>
            <w:vAlign w:val="center"/>
          </w:tcPr>
          <w:p>
            <w:pPr>
              <w:spacing w:after="0" w:before="0" w:line="276"/>
            </w:pPr>
            <w:r>
              <w:rPr>
                <w:rFonts w:ascii="Arial" w:cs="Arial" w:eastAsia="Arial" w:hAnsi="Arial"/>
                <w:b/>
                <w:bCs/>
                <w:i w:val="false"/>
                <w:iCs w:val="false"/>
                <w:color w:val="FFFFFF"/>
                <w:sz w:val="18"/>
                <w:szCs w:val="18"/>
              </w:rPr>
              <w:t xml:space="preserve">Richtig</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Angebot per Aushang, Sammelliste oder Rundmail an einen Verteiler</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Persönliches Schreiben an jede betroffene Person, Zugang nachweisbar</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Ablehnung wird in die Vorsorgekartei eingetragen</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Ablehnung gehört in den Angebotsnachweis; die Kartei enthält nur Durchgeführtes</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Nach einer Ablehnung wird der Vorgang geschlossen</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Wiedervorlage setzen; erneutes Angebot in der Maximalfrist</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Vom Betriebsarzt wird eine Aussage zu gesundheitlichen Bedenken oder zur Eignung angefordert</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Die Vorsorgebescheinigung enthält nur Teilnahme, Zeitpunkt, Anlass und Folgetermin</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Pflichtvorsorge wird nachgeholt, während die Tätigkeit bereits läuft</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 innerhalb von drei Monaten vor Aufnahme der Tätigkeit; ohne Teilnahme keine Tätigkeit</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Anlässe in den Anschreiben werden pauschal angekreuzt</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Nur ankreuzen, was in der Gefährdungsbeurteilung und in F AS 0001 belegt ist</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Als Anlass wird die G-Nummer angegeben</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Vorsorgeanlass nach Anhang der ArbMedVV angeben; die G-Nummer ist nur Verständigungshilfe</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Die betriebliche Richtfrist wird auch dann verwendet, wenn der Arzt eine kürzere angibt</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Die Angabe in der Vorsorgebescheinigung geht vor</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Mehrere Anlässe führen zu mehreren getrennten Terminen</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Anlässe zusammenfassen, einheitliche Frist anstreben</w:t>
            </w:r>
          </w:p>
        </w:tc>
      </w:tr>
      <w:tr>
        <w:tc>
          <w:tcPr>
            <w:tcW w:type="dxa" w:w="4400"/>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Vorsorgebescheinigung wird zur Personalakte genommen, aber nicht in die Kartei übertragen</w:t>
            </w:r>
          </w:p>
        </w:tc>
        <w:tc>
          <w:tcPr>
            <w:tcW w:type="dxa" w:w="5238"/>
            <w:tcMar>
              <w:top w:type="dxa" w:w="80"/>
              <w:left w:type="dxa" w:w="110"/>
              <w:bottom w:type="dxa" w:w="80"/>
              <w:right w:type="dxa" w:w="110"/>
            </w:tcMar>
            <w:vAlign w:val="center"/>
          </w:tcPr>
          <w:p>
            <w:pPr>
              <w:spacing w:after="0" w:before="0" w:line="276"/>
            </w:pPr>
            <w:r>
              <w:rPr>
                <w:rFonts w:ascii="Arial" w:cs="Arial" w:eastAsia="Arial" w:hAnsi="Arial"/>
                <w:b w:val="false"/>
                <w:bCs w:val="false"/>
                <w:i w:val="false"/>
                <w:iCs w:val="false"/>
                <w:sz w:val="18"/>
                <w:szCs w:val="18"/>
              </w:rPr>
              <w:t xml:space="preserve">Beides: Bescheinigung ablegen, Eintrag in der Kartei erzeugen</w:t>
            </w:r>
          </w:p>
        </w:tc>
      </w:tr>
    </w:tbl>
    <w:p>
      <w:pPr>
        <w:pStyle w:val="Heading2"/>
        <w:spacing w:after="100" w:before="280"/>
      </w:pPr>
      <w:r>
        <w:rPr>
          <w:rFonts w:ascii="Arial" w:cs="Arial" w:eastAsia="Arial" w:hAnsi="Arial"/>
          <w:b/>
          <w:bCs/>
          <w:i w:val="false"/>
          <w:iCs w:val="false"/>
          <w:color w:val="1F3864"/>
          <w:sz w:val="22"/>
          <w:szCs w:val="22"/>
        </w:rPr>
        <w:t xml:space="preserve">Prüfliste vor einer Behördenprüfung</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Liegt für jede Tätigkeit eine ausgefüllte und gegengezeichnete Vorsorge-Ermittlung vor?</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Ist die Anlassmatrix mit der aktuellen Gefährdungsbeurteilung konsistent?</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Gibt es zu jeder Person mit Angebotsanlass einen dokumentierten Angebotsvorgang – auch bei Ablehnung?</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Ist bei jedem Angebot der Zugang belegbar?</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Stimmen die Einträge der Vorsorgekartei mit den vorliegenden Vorsorgebescheinigungen überein?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Enthält die Kartei ausschließlich zulässige Daten?</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Sind alle Fristen eingehalten, oder gibt es überfällige Einträge ohne dokumentierten Grund?</w:t>
      </w:r>
    </w:p>
    <w:p>
      <w:pPr>
        <w:pStyle w:val="ListParagraph"/>
        <w:numPr>
          <w:ilvl w:val="0"/>
          <w:numId w:val="3"/>
        </w:numPr>
        <w:spacing w:after="60" w:line="276"/>
      </w:pPr>
      <w:r>
        <w:rPr>
          <w:rFonts w:ascii="Arial" w:cs="Arial" w:eastAsia="Arial" w:hAnsi="Arial"/>
          <w:b w:val="false"/>
          <w:bCs w:val="false"/>
          <w:i w:val="false"/>
          <w:iCs w:val="false"/>
          <w:sz w:val="20"/>
          <w:szCs w:val="20"/>
        </w:rPr>
        <w:t xml:space="preserve">Ist für ausgeschiedene Personen die Löschung erfolgt bzw. eine abweichende Aufbewahrungsfrist begründet?</w:t>
      </w:r>
    </w:p>
    <w:p>
      <w:pPr>
        <w:pStyle w:val="Heading2"/>
        <w:spacing w:after="100" w:before="280"/>
      </w:pPr>
      <w:r>
        <w:rPr>
          <w:rFonts w:ascii="Arial" w:cs="Arial" w:eastAsia="Arial" w:hAnsi="Arial"/>
          <w:b/>
          <w:bCs/>
          <w:i w:val="false"/>
          <w:iCs w:val="false"/>
          <w:color w:val="1F3864"/>
          <w:sz w:val="22"/>
          <w:szCs w:val="22"/>
        </w:rPr>
        <w:t xml:space="preserve">Zuständigkeiten festlegen</w:t>
      </w:r>
    </w:p>
    <w:p>
      <w:pPr>
        <w:spacing w:after="120" w:before="0" w:line="276"/>
      </w:pPr>
      <w:r>
        <w:rPr>
          <w:rFonts w:ascii="Arial" w:cs="Arial" w:eastAsia="Arial" w:hAnsi="Arial"/>
          <w:b w:val="false"/>
          <w:bCs w:val="false"/>
          <w:i w:val="false"/>
          <w:iCs w:val="false"/>
          <w:sz w:val="20"/>
          <w:szCs w:val="20"/>
        </w:rPr>
        <w:t xml:space="preserve">Die Anleitung ersetzt keine betriebliche Regelung. Legen Sie schriftlich fest, wer die Vorsorge-Ermittlung pflegt, wer die Anschreiben versendet, wer die Kartei führt und wer die Fristenübersicht auswertet. Ohne benannte Zuständigkeit bleibt die Fristenüberwachung erfahrungsgemäß liegen.</w:t>
      </w:r>
    </w:p>
    <w:p>
      <w:pPr>
        <w:pBdr>
          <w:top w:val="single" w:color="BFBFBF" w:sz="6" w:space="6"/>
        </w:pBdr>
        <w:spacing w:before="400"/>
      </w:pPr>
      <w:r>
        <w:rPr>
          <w:rFonts w:ascii="Arial" w:cs="Arial" w:eastAsia="Arial" w:hAnsi="Arial"/>
          <w:b w:val="false"/>
          <w:bCs w:val="false"/>
          <w:i w:val="false"/>
          <w:iCs w:val="false"/>
          <w:sz w:val="20"/>
          <w:szCs w:val="20"/>
        </w:rPr>
        <w:t xml:space="preserve"/>
      </w:r>
    </w:p>
    <w:p>
      <w:pPr>
        <w:spacing w:after="120" w:before="0" w:line="276"/>
      </w:pPr>
      <w:r>
        <w:rPr>
          <w:rFonts w:ascii="Arial" w:cs="Arial" w:eastAsia="Arial" w:hAnsi="Arial"/>
          <w:b w:val="false"/>
          <w:bCs w:val="false"/>
          <w:i w:val="false"/>
          <w:iCs w:val="false"/>
          <w:color w:val="595959"/>
          <w:sz w:val="16"/>
          <w:szCs w:val="16"/>
        </w:rPr>
        <w:t xml:space="preserve">Stand: Juli 2026. Bezug: ArbMedVV in der jeweils geltenden Fassung, AMR 2.1 (GMBl Nr. 28 vom 20.07.2016, Überschrift korrigiert GMBl Nr. 20 vom 18.07.2025) und AMR 5.1 (GMBl Nr. 5 vom 24.02.2014, zuletzt geändert GMBl Nr. 76-77 vom 23.12.2014). Diese Anleitung gibt den Stand der Bearbeitung wieder und ersetzt keine rechtliche Beratung. Vor betrieblicher Einführung mit Betriebsarzt, Datenschutzbeauftragtem und Betriebs- bzw. Personalrat abstimmen.</w:t>
      </w:r>
    </w:p>
    <w:sectPr>
      <w:headerReference w:type="default" r:id="rId7"/>
      <w:footerReference w:type="default" r:id="rId8"/>
      <w:pgSz w:w="11906" w:h="16838" w:orient="portrait"/>
      <w:pgMar w:top="1133" w:right="1133" w:bottom="1020"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b w:val="false"/>
        <w:bCs w:val="false"/>
        <w:i w:val="false"/>
        <w:iCs w:val="false"/>
        <w:color w:val="808080"/>
        <w:sz w:val="16"/>
        <w:szCs w:val="16"/>
      </w:rPr>
      <w:t xml:space="preserve">Stand 07/2026 · Seite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b w:val="false"/>
        <w:bCs w:val="false"/>
        <w:i w:val="false"/>
        <w:iCs w:val="false"/>
        <w:color w:val="808080"/>
        <w:sz w:val="16"/>
        <w:szCs w:val="16"/>
      </w:rPr>
      <w:t xml:space="preserve"> von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2"/>
      </w:pBdr>
      <w:spacing w:after="120"/>
      <w:jc w:val="right"/>
    </w:pPr>
    <w:r>
      <w:rPr>
        <w:rFonts w:ascii="Arial" w:cs="Arial" w:eastAsia="Arial" w:hAnsi="Arial"/>
        <w:b w:val="false"/>
        <w:bCs w:val="false"/>
        <w:i w:val="false"/>
        <w:iCs w:val="false"/>
        <w:color w:val="808080"/>
        <w:sz w:val="16"/>
        <w:szCs w:val="16"/>
      </w:rPr>
      <w:t xml:space="preserve">Bedienungsanleitung · Arbeitsmedizinische Vorsorge nach ArbMedVV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Bedienungsanleitung Arbeitsmedizinische Vorsorge</dc:title>
  <dc:creator>KPZ der BGHW</dc:creator>
  <cp:lastModifiedBy>Un-named</cp:lastModifiedBy>
  <cp:revision>1</cp:revision>
  <dcterms:created xsi:type="dcterms:W3CDTF">2026-07-21T08:11:36.259Z</dcterms:created>
  <dcterms:modified xsi:type="dcterms:W3CDTF">2026-07-21T08:11:36.269Z</dcterms:modified>
</cp:coreProperties>
</file>

<file path=docProps/custom.xml><?xml version="1.0" encoding="utf-8"?>
<Properties xmlns="http://schemas.openxmlformats.org/officeDocument/2006/custom-properties" xmlns:vt="http://schemas.openxmlformats.org/officeDocument/2006/docPropsVTypes"/>
</file>